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rPr>
          <w:rFonts w:ascii="Cambria" w:hAnsi="Cambria"/>
          <w:color w:val="2D6FBC"/>
          <w:sz w:val="44"/>
        </w:rPr>
        <w:t>Lake Mead Watermark Assessment — Hoover Dam Demonstration Study</w:t>
      </w:r>
    </w:p>
    <w:p>
      <w:r>
        <w:rPr>
          <w:b/>
        </w:rPr>
        <w:t>Reservoir:</w:t>
      </w:r>
      <w:r>
        <w:t xml:space="preserve"> Lake Mead (Hoover Dam, Colorado River)</w:t>
      </w:r>
      <w:r>
        <w:t xml:space="preserve"> </w:t>
      </w:r>
      <w:r>
        <w:rPr>
          <w:b/>
        </w:rPr>
        <w:t>Coordinates:</w:t>
      </w:r>
      <w:r>
        <w:t xml:space="preserve"> 36.13°N, 114.36°W</w:t>
      </w:r>
      <w:r>
        <w:t xml:space="preserve"> </w:t>
      </w:r>
      <w:r>
        <w:rPr>
          <w:b/>
        </w:rPr>
        <w:t>Operator:</w:t>
      </w:r>
      <w:r>
        <w:t xml:space="preserve"> U.S. Bureau of Reclamation (Lower Colorado Basin)</w:t>
      </w:r>
      <w:r>
        <w:t xml:space="preserve"> </w:t>
      </w:r>
      <w:r>
        <w:rPr>
          <w:b/>
        </w:rPr>
        <w:t>Period of analysis:</w:t>
      </w:r>
      <w:r>
        <w:t xml:space="preserve"> 2000 – 2025 (26 years, monthly)</w:t>
      </w:r>
      <w:r>
        <w:t xml:space="preserve"> </w:t>
      </w:r>
      <w:r>
        <w:rPr>
          <w:b/>
        </w:rPr>
        <w:t>Methodology:</w:t>
      </w:r>
      <w:r>
        <w:t xml:space="preserve"> MNDWI surface-area extraction · OLS forecast · LOOCV-validated</w:t>
      </w:r>
    </w:p>
    <w:p>
      <w:r>
        <w:rPr>
          <w:b/>
        </w:rPr>
        <w:t>Document type:</w:t>
      </w:r>
      <w:r>
        <w:t xml:space="preserve"> Public demonstration study</w:t>
      </w:r>
      <w:r>
        <w:t xml:space="preserve"> </w:t>
      </w:r>
      <w:r>
        <w:rPr>
          <w:b/>
        </w:rPr>
        <w:t>Date:</w:t>
      </w:r>
      <w:r>
        <w:t xml:space="preserve"> May 27, 2026</w:t>
      </w:r>
      <w:r>
        <w:t xml:space="preserve"> </w:t>
      </w:r>
      <w:r>
        <w:rPr>
          <w:b/>
        </w:rPr>
        <w:t>Prepared by:</w:t>
      </w:r>
      <w:r>
        <w:t xml:space="preserve"> HelioLink Technologies, LLC</w:t>
      </w:r>
      <w:r>
        <w:t xml:space="preserve"> </w:t>
      </w:r>
      <w:r>
        <w:rPr>
          <w:b/>
        </w:rPr>
        <w:t>Tooling:</w:t>
      </w:r>
      <w:r>
        <w:t xml:space="preserve"> Arariel — Reservoir Watermark Console, v1.5.5</w:t>
      </w:r>
    </w:p>
    <w:p>
      <w:pPr>
        <w:jc w:val="center"/>
      </w:pPr>
      <w:r>
        <w:drawing>
          <wp:inline xmlns:a="http://schemas.openxmlformats.org/drawingml/2006/main" xmlns:pic="http://schemas.openxmlformats.org/drawingml/2006/picture">
            <wp:extent cx="5943600" cy="5943600"/>
            <wp:docPr id="1" name="Picture 1"/>
            <wp:cNvGraphicFramePr>
              <a:graphicFrameLocks noChangeAspect="1"/>
            </wp:cNvGraphicFramePr>
            <a:graphic>
              <a:graphicData uri="http://schemas.openxmlformats.org/drawingml/2006/picture">
                <pic:pic>
                  <pic:nvPicPr>
                    <pic:cNvPr id="0" name="hoover-satellite-overview.png"/>
                    <pic:cNvPicPr/>
                  </pic:nvPicPr>
                  <pic:blipFill>
                    <a:blip r:embed="rId9"/>
                    <a:stretch>
                      <a:fillRect/>
                    </a:stretch>
                  </pic:blipFill>
                  <pic:spPr>
                    <a:xfrm>
                      <a:off x="0" y="0"/>
                      <a:ext cx="5943600" cy="5943600"/>
                    </a:xfrm>
                    <a:prstGeom prst="rect"/>
                  </pic:spPr>
                </pic:pic>
              </a:graphicData>
            </a:graphic>
          </wp:inline>
        </w:drawing>
      </w:r>
    </w:p>
    <w:p>
      <w:pPr>
        <w:jc w:val="center"/>
      </w:pPr>
      <w:r>
        <w:rPr>
          <w:i/>
          <w:color w:val="4A5A73"/>
          <w:sz w:val="20"/>
        </w:rPr>
        <w:t>Figure 1 — Lake Mead, Nevada/Arizona, viewed from the Esri World Imagery basemap. Hoover Dam is at the southwestern tip of the reservoir (36.0161°N, 114.7377°W). The reservoir extends ~180 km northeast into the Colorado River basin.</w:t>
      </w:r>
    </w:p>
    <w:p>
      <w:pPr>
        <w:jc w:val="center"/>
      </w:pPr>
      <w:r>
        <w:rPr>
          <w:color w:val="B6C2D3"/>
        </w:rPr>
        <w:t>__________________________________________________</w:t>
      </w:r>
    </w:p>
    <w:p>
      <w:pPr>
        <w:pStyle w:val="Heading2"/>
      </w:pPr>
      <w:r>
        <w:rPr>
          <w:rFonts w:ascii="Cambria" w:hAnsi="Cambria"/>
          <w:color w:val="2D6FBC"/>
          <w:sz w:val="30"/>
        </w:rPr>
        <w:t>Executive summary</w:t>
      </w:r>
    </w:p>
    <w:p>
      <w:r>
        <w:t>Lake Mead is the largest reservoir in the United States by capacity and the most-watched reservoir in the world. Its surface elevation is published hourly by the Bureau of Reclamation, making it a uniquely well-instrumented test case for the Arariel watermark methodology — every satellite-derived measurement can be checked against an authoritative ground-truth gauge.</w:t>
      </w:r>
    </w:p>
    <w:p>
      <w:r>
        <w:t>This demonstration study applies the same workflow Arariel uses on remote, ungauged reservoirs (e.g., the Indus Basin's Tarbela and Mangla, study HYD-26-014) to Lake Mead and compares the satellite-derived watermarks against the USBR record.</w:t>
      </w:r>
    </w:p>
    <w:p>
      <w:r>
        <w:rPr>
          <w:b/>
        </w:rPr>
        <w:t>Headline findings:</w:t>
      </w:r>
    </w:p>
    <w:p>
      <w:pPr>
        <w:pStyle w:val="ListBullet"/>
      </w:pPr>
      <w:r>
        <w:rPr>
          <w:b/>
        </w:rPr>
        <w:t>The 2000–2025 trend is steeply declining.</w:t>
      </w:r>
      <w:r>
        <w:t xml:space="preserve"> OLS regression on 26 annual HIGH watermarks yields a slope of approximately </w:t>
      </w:r>
      <w:r>
        <w:rPr>
          <w:b/>
        </w:rPr>
        <w:t>−5 ft per year</w:t>
      </w:r>
      <w:r>
        <w:t xml:space="preserve"> in peak elevation, a cumulative loss of roughly 130 ft over the analysis period.</w:t>
      </w:r>
    </w:p>
    <w:p>
      <w:pPr>
        <w:pStyle w:val="ListBullet"/>
      </w:pPr>
      <w:r>
        <w:rPr>
          <w:b/>
        </w:rPr>
        <w:t>2022 set the modern record low.</w:t>
      </w:r>
      <w:r>
        <w:t xml:space="preserve"> July 2022's 1,041 ft is the lowest Lake Mead has been since the reservoir first filled in 1937. Surface area dropped to ~330 km² — barely half of the full-pool 640 km².</w:t>
      </w:r>
    </w:p>
    <w:p>
      <w:pPr>
        <w:pStyle w:val="ListBullet"/>
      </w:pPr>
      <w:r>
        <w:rPr>
          <w:b/>
        </w:rPr>
        <w:t>2023–2025 shows a partial recovery.</w:t>
      </w:r>
      <w:r>
        <w:t xml:space="preserve"> A wet winter in 2022–23 lifted the lake by ~25 ft. The 2025 HIGH watermark of 1,072 ft is the highest seen since 2020 but remains 3 ft below the Tier-1 shortage threshold.</w:t>
      </w:r>
    </w:p>
    <w:p>
      <w:pPr>
        <w:pStyle w:val="ListBullet"/>
      </w:pPr>
      <w:r>
        <w:rPr>
          <w:b/>
        </w:rPr>
        <w:t>Forecast (2026 HIGH):</w:t>
      </w:r>
      <w:r>
        <w:t xml:space="preserve"> OLS extrapolation predicts </w:t>
      </w:r>
      <w:r>
        <w:rPr>
          <w:b/>
        </w:rPr>
        <w:t>~1,067 ft ± 22 ft</w:t>
      </w:r>
      <w:r>
        <w:t xml:space="preserve"> (LOOCV 95% CI). The Bureau of Reclamation's 24-month operating projections are within this band.</w:t>
      </w:r>
    </w:p>
    <w:p>
      <w:pPr>
        <w:pStyle w:val="ListBullet"/>
      </w:pPr>
      <w:r>
        <w:rPr>
          <w:b/>
        </w:rPr>
        <w:t>Skill score:</w:t>
      </w:r>
      <w:r>
        <w:t xml:space="preserve"> r² = 0.93 on LOOCV — high, because the trend is strong and monotonic on the multi-decadal scale. (Note: forecasts on reservoirs without a sustained trend will have lower r².)</w:t>
      </w:r>
    </w:p>
    <w:p>
      <w:pPr>
        <w:jc w:val="center"/>
      </w:pPr>
      <w:r>
        <w:rPr>
          <w:color w:val="B6C2D3"/>
        </w:rPr>
        <w:t>__________________________________________________</w:t>
      </w:r>
    </w:p>
    <w:p>
      <w:pPr>
        <w:pStyle w:val="Heading2"/>
      </w:pPr>
      <w:r>
        <w:rPr>
          <w:rFonts w:ascii="Cambria" w:hAnsi="Cambria"/>
          <w:color w:val="2D6FBC"/>
          <w:sz w:val="30"/>
        </w:rPr>
        <w:t>1. Background</w:t>
      </w:r>
    </w:p>
    <w:p>
      <w:pPr>
        <w:pStyle w:val="Heading3"/>
      </w:pPr>
      <w:r>
        <w:rPr>
          <w:rFonts w:ascii="Cambria" w:hAnsi="Cambria"/>
          <w:sz w:val="25"/>
        </w:rPr>
        <w:t>1.1 The reservoir</w:t>
      </w:r>
    </w:p>
    <w:p>
      <w:r>
        <w:t>Lake Mead was created by the construction of Hoover Dam (formerly Boulder Dam) between 1931 and 1936, on the Colorado River at the Nevada–Arizona state line. At full pool (elevation 1,229 ft above sea level), the reservoir holds 28.9 million acre-feet (35.7 km³) and covers about 640 km² (247 mi²). It is the cornerstone of the Lower Colorado River storage system, which supplies water and hydropower to roughly 25 million people across Nevada, Arizona, California, and Mexico.</w:t>
      </w:r>
    </w:p>
    <w:p>
      <w:pPr>
        <w:pStyle w:val="Heading3"/>
      </w:pPr>
      <w:r>
        <w:rPr>
          <w:rFonts w:ascii="Cambria" w:hAnsi="Cambria"/>
          <w:sz w:val="25"/>
        </w:rPr>
        <w:t>1.2 The drought era</w:t>
      </w:r>
    </w:p>
    <w:p>
      <w:r>
        <w:t xml:space="preserve">Since 2000, the Colorado River Basin has been in what climatologists now call the </w:t>
      </w:r>
      <w:r>
        <w:rPr>
          <w:b/>
        </w:rPr>
        <w:t>Millennium Drought</w:t>
      </w:r>
      <w:r>
        <w:t xml:space="preserve"> or the </w:t>
      </w:r>
      <w:r>
        <w:rPr>
          <w:b/>
        </w:rPr>
        <w:t>Southwest Megadrought</w:t>
      </w:r>
      <w:r>
        <w:t xml:space="preserve"> — the driest multi-decadal period in the basin in at least 1,200 years (Williams et al. 2022). Lake Mead's elevation has dropped from a peak of about 1,217 ft in 2000 to a record low of 1,041 ft in July 2022 — a loss of nearly 180 vertical feet, or about 60% of the reservoir's active storage capacity.</w:t>
      </w:r>
    </w:p>
    <w:p>
      <w:r>
        <w:t>The decline triggered a cascade of federal actions:</w:t>
      </w:r>
    </w:p>
    <w:p>
      <w:pPr>
        <w:pStyle w:val="ListBullet"/>
      </w:pPr>
      <w:r>
        <w:rPr>
          <w:b/>
        </w:rPr>
        <w:t>2007:</w:t>
      </w:r>
      <w:r>
        <w:t xml:space="preserve"> Interim Guidelines for Lower Basin Shortages adopted.</w:t>
      </w:r>
    </w:p>
    <w:p>
      <w:pPr>
        <w:pStyle w:val="ListBullet"/>
      </w:pPr>
      <w:r>
        <w:rPr>
          <w:b/>
        </w:rPr>
        <w:t>2019:</w:t>
      </w:r>
      <w:r>
        <w:t xml:space="preserve"> Drought Contingency Plans (DCP) signed by all seven basin states and Mexico (Public Law 116-14).</w:t>
      </w:r>
    </w:p>
    <w:p>
      <w:pPr>
        <w:pStyle w:val="ListBullet"/>
      </w:pPr>
      <w:r>
        <w:rPr>
          <w:b/>
        </w:rPr>
        <w:t>2021:</w:t>
      </w:r>
      <w:r>
        <w:t xml:space="preserve"> First federally declared Tier-1 shortage at Lake Mead (effective 2022).</w:t>
      </w:r>
    </w:p>
    <w:p>
      <w:pPr>
        <w:pStyle w:val="ListBullet"/>
      </w:pPr>
      <w:r>
        <w:rPr>
          <w:b/>
        </w:rPr>
        <w:t>2022:</w:t>
      </w:r>
      <w:r>
        <w:t xml:space="preserve"> Tier-2a shortage declared as elevation fell below 1,050 ft.</w:t>
      </w:r>
    </w:p>
    <w:p>
      <w:pPr>
        <w:pStyle w:val="ListBullet"/>
      </w:pPr>
      <w:r>
        <w:rPr>
          <w:b/>
        </w:rPr>
        <w:t>2023:</w:t>
      </w:r>
      <w:r>
        <w:t xml:space="preserve"> Supplemental Environmental Impact Statement (SEIS) released, proposing additional curtailments.</w:t>
      </w:r>
    </w:p>
    <w:p>
      <w:pPr>
        <w:pStyle w:val="ListBullet"/>
      </w:pPr>
      <w:r>
        <w:rPr>
          <w:b/>
        </w:rPr>
        <w:t>2023–25:</w:t>
      </w:r>
      <w:r>
        <w:t xml:space="preserve"> Wet winters provided temporary relief but did not reverse the long-term trend.</w:t>
      </w:r>
    </w:p>
    <w:p>
      <w:pPr>
        <w:pStyle w:val="Heading3"/>
      </w:pPr>
      <w:r>
        <w:rPr>
          <w:rFonts w:ascii="Cambria" w:hAnsi="Cambria"/>
          <w:sz w:val="25"/>
        </w:rPr>
        <w:t>1.3 Why this matters for the watermark methodology</w:t>
      </w:r>
    </w:p>
    <w:p>
      <w:r>
        <w:t>Lake Mead is an ideal test case because:</w:t>
      </w:r>
    </w:p>
    <w:p>
      <w:pPr>
        <w:pStyle w:val="ListNumber"/>
      </w:pPr>
      <w:r>
        <w:rPr>
          <w:b/>
        </w:rPr>
        <w:t>Ground truth exists.</w:t>
      </w:r>
      <w:r>
        <w:t xml:space="preserve"> USBR publishes elevation continuously. We can compare every satellite-derived measurement against an authoritative gauge — something we cannot do for most foreign reservoirs.</w:t>
      </w:r>
    </w:p>
    <w:p>
      <w:pPr>
        <w:pStyle w:val="ListNumber"/>
      </w:pPr>
      <w:r>
        <w:rPr>
          <w:b/>
        </w:rPr>
        <w:t>The signal is large.</w:t>
      </w:r>
      <w:r>
        <w:t xml:space="preserve"> A 180-ft elevation change is well above the noise floor of Landsat-class imagery and MNDWI thresholding.</w:t>
      </w:r>
    </w:p>
    <w:p>
      <w:pPr>
        <w:pStyle w:val="ListNumber"/>
      </w:pPr>
      <w:r>
        <w:rPr>
          <w:b/>
        </w:rPr>
        <w:t>Operational decisions hang on this data.</w:t>
      </w:r>
      <w:r>
        <w:t xml:space="preserve"> Shortage tier triggers are tied to year-end elevation. Forecast skill matters in dollars and acre-feet.</w:t>
      </w:r>
    </w:p>
    <w:p>
      <w:pPr>
        <w:pStyle w:val="ListNumber"/>
      </w:pPr>
      <w:r>
        <w:rPr>
          <w:b/>
        </w:rPr>
        <w:t>The methodology generalizes.</w:t>
      </w:r>
      <w:r>
        <w:t xml:space="preserve"> If the watermark workflow reproduces the USBR record on a well-gauged reservoir, the same workflow is defensible when applied to ungauged reservoirs abroad.</w:t>
      </w:r>
    </w:p>
    <w:p>
      <w:pPr>
        <w:jc w:val="center"/>
      </w:pPr>
      <w:r>
        <w:rPr>
          <w:color w:val="B6C2D3"/>
        </w:rPr>
        <w:t>__________________________________________________</w:t>
      </w:r>
    </w:p>
    <w:p>
      <w:pPr>
        <w:pStyle w:val="Heading2"/>
      </w:pPr>
      <w:r>
        <w:rPr>
          <w:rFonts w:ascii="Cambria" w:hAnsi="Cambria"/>
          <w:color w:val="2D6FBC"/>
          <w:sz w:val="30"/>
        </w:rPr>
        <w:t>2. Data sources</w:t>
      </w:r>
    </w:p>
    <w:p>
      <w:pPr>
        <w:pStyle w:val="Heading3"/>
      </w:pPr>
      <w:r>
        <w:rPr>
          <w:rFonts w:ascii="Cambria" w:hAnsi="Cambria"/>
          <w:sz w:val="25"/>
        </w:rPr>
        <w:t>2.1 Primary imagery</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shd w:val="clear" w:color="auto" w:fill="E8EEF7"/>
          </w:tcPr>
          <w:p>
            <w:r>
              <w:rPr>
                <w:b/>
                <w:color w:val="2D6FBC"/>
              </w:rPr>
            </w:r>
            <w:r>
              <w:rPr>
                <w:b/>
                <w:color w:val="2D6FBC"/>
              </w:rPr>
              <w:t>Sensor</w:t>
            </w:r>
          </w:p>
        </w:tc>
        <w:tc>
          <w:tcPr>
            <w:tcW w:type="dxa" w:w="2160"/>
            <w:shd w:val="clear" w:color="auto" w:fill="E8EEF7"/>
          </w:tcPr>
          <w:p>
            <w:r>
              <w:rPr>
                <w:b/>
                <w:color w:val="2D6FBC"/>
              </w:rPr>
            </w:r>
            <w:r>
              <w:rPr>
                <w:b/>
                <w:color w:val="2D6FBC"/>
              </w:rPr>
              <w:t>Mission years on this reservoir</w:t>
            </w:r>
          </w:p>
        </w:tc>
        <w:tc>
          <w:tcPr>
            <w:tcW w:type="dxa" w:w="2160"/>
            <w:shd w:val="clear" w:color="auto" w:fill="E8EEF7"/>
          </w:tcPr>
          <w:p>
            <w:r>
              <w:rPr>
                <w:b/>
                <w:color w:val="2D6FBC"/>
              </w:rPr>
            </w:r>
            <w:r>
              <w:rPr>
                <w:b/>
                <w:color w:val="2D6FBC"/>
              </w:rPr>
              <w:t>Resolution</w:t>
            </w:r>
          </w:p>
        </w:tc>
        <w:tc>
          <w:tcPr>
            <w:tcW w:type="dxa" w:w="2160"/>
            <w:shd w:val="clear" w:color="auto" w:fill="E8EEF7"/>
          </w:tcPr>
          <w:p>
            <w:r>
              <w:rPr>
                <w:b/>
                <w:color w:val="2D6FBC"/>
              </w:rPr>
            </w:r>
            <w:r>
              <w:rPr>
                <w:b/>
                <w:color w:val="2D6FBC"/>
              </w:rPr>
              <w:t>Revisit</w:t>
            </w:r>
          </w:p>
        </w:tc>
      </w:tr>
      <w:tr>
        <w:tc>
          <w:tcPr>
            <w:tcW w:type="dxa" w:w="2160"/>
          </w:tcPr>
          <w:p>
            <w:r/>
            <w:r>
              <w:t>Landsat-7 ETM+</w:t>
            </w:r>
          </w:p>
        </w:tc>
        <w:tc>
          <w:tcPr>
            <w:tcW w:type="dxa" w:w="2160"/>
          </w:tcPr>
          <w:p>
            <w:r/>
            <w:r>
              <w:t>2000 – 2013</w:t>
            </w:r>
          </w:p>
        </w:tc>
        <w:tc>
          <w:tcPr>
            <w:tcW w:type="dxa" w:w="2160"/>
          </w:tcPr>
          <w:p>
            <w:r/>
            <w:r>
              <w:t>30 m</w:t>
            </w:r>
          </w:p>
        </w:tc>
        <w:tc>
          <w:tcPr>
            <w:tcW w:type="dxa" w:w="2160"/>
          </w:tcPr>
          <w:p>
            <w:r/>
            <w:r>
              <w:t>16 d</w:t>
            </w:r>
          </w:p>
        </w:tc>
      </w:tr>
      <w:tr>
        <w:tc>
          <w:tcPr>
            <w:tcW w:type="dxa" w:w="2160"/>
            <w:shd w:val="clear" w:color="auto" w:fill="F8FAFD"/>
          </w:tcPr>
          <w:p>
            <w:r/>
            <w:r>
              <w:t>Landsat-8 OLI/TIRS</w:t>
            </w:r>
          </w:p>
        </w:tc>
        <w:tc>
          <w:tcPr>
            <w:tcW w:type="dxa" w:w="2160"/>
            <w:shd w:val="clear" w:color="auto" w:fill="F8FAFD"/>
          </w:tcPr>
          <w:p>
            <w:r/>
            <w:r>
              <w:t>2013 – present</w:t>
            </w:r>
          </w:p>
        </w:tc>
        <w:tc>
          <w:tcPr>
            <w:tcW w:type="dxa" w:w="2160"/>
            <w:shd w:val="clear" w:color="auto" w:fill="F8FAFD"/>
          </w:tcPr>
          <w:p>
            <w:r/>
            <w:r>
              <w:t>30 m</w:t>
            </w:r>
          </w:p>
        </w:tc>
        <w:tc>
          <w:tcPr>
            <w:tcW w:type="dxa" w:w="2160"/>
            <w:shd w:val="clear" w:color="auto" w:fill="F8FAFD"/>
          </w:tcPr>
          <w:p>
            <w:r/>
            <w:r>
              <w:t>16 d</w:t>
            </w:r>
          </w:p>
        </w:tc>
      </w:tr>
      <w:tr>
        <w:tc>
          <w:tcPr>
            <w:tcW w:type="dxa" w:w="2160"/>
          </w:tcPr>
          <w:p>
            <w:r/>
            <w:r>
              <w:t>Landsat-9 OLI-2/TIRS-2</w:t>
            </w:r>
          </w:p>
        </w:tc>
        <w:tc>
          <w:tcPr>
            <w:tcW w:type="dxa" w:w="2160"/>
          </w:tcPr>
          <w:p>
            <w:r/>
            <w:r>
              <w:t>2021 – present</w:t>
            </w:r>
          </w:p>
        </w:tc>
        <w:tc>
          <w:tcPr>
            <w:tcW w:type="dxa" w:w="2160"/>
          </w:tcPr>
          <w:p>
            <w:r/>
            <w:r>
              <w:t>30 m</w:t>
            </w:r>
          </w:p>
        </w:tc>
        <w:tc>
          <w:tcPr>
            <w:tcW w:type="dxa" w:w="2160"/>
          </w:tcPr>
          <w:p>
            <w:r/>
            <w:r>
              <w:t>16 d (8 d combined with L8)</w:t>
            </w:r>
          </w:p>
        </w:tc>
      </w:tr>
      <w:tr>
        <w:tc>
          <w:tcPr>
            <w:tcW w:type="dxa" w:w="2160"/>
            <w:shd w:val="clear" w:color="auto" w:fill="F8FAFD"/>
          </w:tcPr>
          <w:p>
            <w:r/>
            <w:r>
              <w:t>Sentinel-2 MSI</w:t>
            </w:r>
          </w:p>
        </w:tc>
        <w:tc>
          <w:tcPr>
            <w:tcW w:type="dxa" w:w="2160"/>
            <w:shd w:val="clear" w:color="auto" w:fill="F8FAFD"/>
          </w:tcPr>
          <w:p>
            <w:r/>
            <w:r>
              <w:t>2015 – present</w:t>
            </w:r>
          </w:p>
        </w:tc>
        <w:tc>
          <w:tcPr>
            <w:tcW w:type="dxa" w:w="2160"/>
            <w:shd w:val="clear" w:color="auto" w:fill="F8FAFD"/>
          </w:tcPr>
          <w:p>
            <w:r/>
            <w:r>
              <w:t>10 m / 20 m</w:t>
            </w:r>
          </w:p>
        </w:tc>
        <w:tc>
          <w:tcPr>
            <w:tcW w:type="dxa" w:w="2160"/>
            <w:shd w:val="clear" w:color="auto" w:fill="F8FAFD"/>
          </w:tcPr>
          <w:p>
            <w:r/>
            <w:r>
              <w:t>5 d</w:t>
            </w:r>
          </w:p>
        </w:tc>
      </w:tr>
    </w:tbl>
    <w:p>
      <w:r>
        <w:t>Lake Mead falls on Landsat WRS-2 path 39, row 35. Over a typical year, ~30–50 cloud-free Landsat scenes are available at this location; Sentinel-2 adds another ~40–60 from 2015 onward.</w:t>
      </w:r>
    </w:p>
    <w:p>
      <w:pPr>
        <w:pStyle w:val="Heading3"/>
      </w:pPr>
      <w:r>
        <w:rPr>
          <w:rFonts w:ascii="Cambria" w:hAnsi="Cambria"/>
          <w:sz w:val="25"/>
        </w:rPr>
        <w:t>2.2 Index and threshold</w:t>
      </w:r>
    </w:p>
    <w:p>
      <w:r>
        <w:t>The Modified Normalized Difference Water Index (MNDWI; Xu 2006) is computed for each scene:</w:t>
      </w:r>
    </w:p>
    <w:p>
      <w:r>
        <w:t>$$</w:t>
      </w:r>
      <w:r>
        <w:t xml:space="preserve"> </w:t>
      </w:r>
      <w:r>
        <w:t>\text{MNDWI} = \frac{\rho_{\text{green}} - \rho_{\text{SWIR1}}}{\rho_{\text{green}} + \rho_{\text{SWIR1}}}</w:t>
      </w:r>
      <w:r>
        <w:t xml:space="preserve"> </w:t>
      </w:r>
      <w:r>
        <w:t>$$</w:t>
      </w:r>
    </w:p>
    <w:p>
      <w:r>
        <w:t>A pixel is classified as water when MNDWI &gt; 0.10. The water-surface polygon is then extracted by connected-component analysis on the binary mask. Cloud and shadow masks from the Landsat Collection 2 QA_PIXEL band are applied before the index computation.</w:t>
      </w:r>
    </w:p>
    <w:p>
      <w:pPr>
        <w:pStyle w:val="Heading3"/>
      </w:pPr>
      <w:r>
        <w:rPr>
          <w:rFonts w:ascii="Cambria" w:hAnsi="Cambria"/>
          <w:sz w:val="25"/>
        </w:rPr>
        <w:t>2.3 Ground-truth elevation</w:t>
      </w:r>
    </w:p>
    <w:p>
      <w:r>
        <w:t>USBR Boulder Canyon Operations Office publishes:</w:t>
      </w:r>
    </w:p>
    <w:p>
      <w:pPr>
        <w:pStyle w:val="ListBullet"/>
      </w:pPr>
      <w:r>
        <w:t>Hourly elevation at Hoover Dam (with stilling-well correction)</w:t>
      </w:r>
    </w:p>
    <w:p>
      <w:pPr>
        <w:pStyle w:val="ListBullet"/>
      </w:pPr>
      <w:r>
        <w:t>Daily end-of-day elevation summaries</w:t>
      </w:r>
    </w:p>
    <w:p>
      <w:pPr>
        <w:pStyle w:val="ListBullet"/>
      </w:pPr>
      <w:r>
        <w:t>Monthly storage tabulations dating back to 1935</w:t>
      </w:r>
    </w:p>
    <w:p>
      <w:r>
        <w:t xml:space="preserve">The monthly time series used here spans </w:t>
      </w:r>
      <w:r>
        <w:rPr>
          <w:b/>
        </w:rPr>
        <w:t>January 2000 through April 2025</w:t>
      </w:r>
      <w:r>
        <w:t xml:space="preserve"> (304 monthly observations; one partial year at the tail).</w:t>
      </w:r>
    </w:p>
    <w:p>
      <w:pPr>
        <w:pStyle w:val="Heading3"/>
      </w:pPr>
      <w:r>
        <w:rPr>
          <w:rFonts w:ascii="Cambria" w:hAnsi="Cambria"/>
          <w:sz w:val="25"/>
        </w:rPr>
        <w:t>2.4 Area-volume-elevation curve</w:t>
      </w:r>
    </w:p>
    <w:p>
      <w:r>
        <w:t>Surface area is derived from elevation using a 12-point area-volume-elevation (AVE) lookup table approximated from USBR's published reservoir-capacity tables, with linear interpolation between table rows:</w:t>
      </w:r>
    </w:p>
    <w:tbl>
      <w:tblPr>
        <w:tblStyle w:val="LightGrid-Accent1"/>
        <w:tblW w:type="auto" w:w="0"/>
        <w:tblLook w:firstColumn="1" w:firstRow="1" w:lastColumn="0" w:lastRow="0" w:noHBand="0" w:noVBand="1" w:val="04A0"/>
      </w:tblPr>
      <w:tblGrid>
        <w:gridCol w:w="4320"/>
        <w:gridCol w:w="4320"/>
      </w:tblGrid>
      <w:tr>
        <w:tc>
          <w:tcPr>
            <w:tcW w:type="dxa" w:w="4320"/>
            <w:shd w:val="clear" w:color="auto" w:fill="E8EEF7"/>
          </w:tcPr>
          <w:p>
            <w:r>
              <w:rPr>
                <w:b/>
                <w:color w:val="2D6FBC"/>
              </w:rPr>
            </w:r>
            <w:r>
              <w:rPr>
                <w:b/>
                <w:color w:val="2D6FBC"/>
              </w:rPr>
              <w:t>Elevation (ft)</w:t>
            </w:r>
          </w:p>
        </w:tc>
        <w:tc>
          <w:tcPr>
            <w:tcW w:type="dxa" w:w="4320"/>
            <w:shd w:val="clear" w:color="auto" w:fill="E8EEF7"/>
          </w:tcPr>
          <w:p>
            <w:r>
              <w:rPr>
                <w:b/>
                <w:color w:val="2D6FBC"/>
              </w:rPr>
            </w:r>
            <w:r>
              <w:rPr>
                <w:b/>
                <w:color w:val="2D6FBC"/>
              </w:rPr>
              <w:t>Surface area (km²)</w:t>
            </w:r>
          </w:p>
        </w:tc>
      </w:tr>
      <w:tr>
        <w:tc>
          <w:tcPr>
            <w:tcW w:type="dxa" w:w="4320"/>
          </w:tcPr>
          <w:p>
            <w:r/>
            <w:r>
              <w:t>870</w:t>
            </w:r>
          </w:p>
        </w:tc>
        <w:tc>
          <w:tcPr>
            <w:tcW w:type="dxa" w:w="4320"/>
          </w:tcPr>
          <w:p>
            <w:r/>
            <w:r>
              <w:t>0 (dead pool)</w:t>
            </w:r>
          </w:p>
        </w:tc>
      </w:tr>
      <w:tr>
        <w:tc>
          <w:tcPr>
            <w:tcW w:type="dxa" w:w="4320"/>
            <w:shd w:val="clear" w:color="auto" w:fill="F8FAFD"/>
          </w:tcPr>
          <w:p>
            <w:r/>
            <w:r>
              <w:t>1,000</w:t>
            </w:r>
          </w:p>
        </w:tc>
        <w:tc>
          <w:tcPr>
            <w:tcW w:type="dxa" w:w="4320"/>
            <w:shd w:val="clear" w:color="auto" w:fill="F8FAFD"/>
          </w:tcPr>
          <w:p>
            <w:r/>
            <w:r>
              <w:t>180</w:t>
            </w:r>
          </w:p>
        </w:tc>
      </w:tr>
      <w:tr>
        <w:tc>
          <w:tcPr>
            <w:tcW w:type="dxa" w:w="4320"/>
          </w:tcPr>
          <w:p>
            <w:r/>
            <w:r>
              <w:t>1,050</w:t>
            </w:r>
          </w:p>
        </w:tc>
        <w:tc>
          <w:tcPr>
            <w:tcW w:type="dxa" w:w="4320"/>
          </w:tcPr>
          <w:p>
            <w:r/>
            <w:r>
              <w:t>290</w:t>
            </w:r>
          </w:p>
        </w:tc>
      </w:tr>
      <w:tr>
        <w:tc>
          <w:tcPr>
            <w:tcW w:type="dxa" w:w="4320"/>
            <w:shd w:val="clear" w:color="auto" w:fill="F8FAFD"/>
          </w:tcPr>
          <w:p>
            <w:r/>
            <w:r>
              <w:t>1,075</w:t>
            </w:r>
          </w:p>
        </w:tc>
        <w:tc>
          <w:tcPr>
            <w:tcW w:type="dxa" w:w="4320"/>
            <w:shd w:val="clear" w:color="auto" w:fill="F8FAFD"/>
          </w:tcPr>
          <w:p>
            <w:r/>
            <w:r>
              <w:t>360 (Tier-1 shortage trigger)</w:t>
            </w:r>
          </w:p>
        </w:tc>
      </w:tr>
      <w:tr>
        <w:tc>
          <w:tcPr>
            <w:tcW w:type="dxa" w:w="4320"/>
          </w:tcPr>
          <w:p>
            <w:r/>
            <w:r>
              <w:t>1,100</w:t>
            </w:r>
          </w:p>
        </w:tc>
        <w:tc>
          <w:tcPr>
            <w:tcW w:type="dxa" w:w="4320"/>
          </w:tcPr>
          <w:p>
            <w:r/>
            <w:r>
              <w:t>420</w:t>
            </w:r>
          </w:p>
        </w:tc>
      </w:tr>
      <w:tr>
        <w:tc>
          <w:tcPr>
            <w:tcW w:type="dxa" w:w="4320"/>
            <w:shd w:val="clear" w:color="auto" w:fill="F8FAFD"/>
          </w:tcPr>
          <w:p>
            <w:r/>
            <w:r>
              <w:t>1,150</w:t>
            </w:r>
          </w:p>
        </w:tc>
        <w:tc>
          <w:tcPr>
            <w:tcW w:type="dxa" w:w="4320"/>
            <w:shd w:val="clear" w:color="auto" w:fill="F8FAFD"/>
          </w:tcPr>
          <w:p>
            <w:r/>
            <w:r>
              <w:t>520</w:t>
            </w:r>
          </w:p>
        </w:tc>
      </w:tr>
      <w:tr>
        <w:tc>
          <w:tcPr>
            <w:tcW w:type="dxa" w:w="4320"/>
          </w:tcPr>
          <w:p>
            <w:r/>
            <w:r>
              <w:t>1,200</w:t>
            </w:r>
          </w:p>
        </w:tc>
        <w:tc>
          <w:tcPr>
            <w:tcW w:type="dxa" w:w="4320"/>
          </w:tcPr>
          <w:p>
            <w:r/>
            <w:r>
              <w:t>600</w:t>
            </w:r>
          </w:p>
        </w:tc>
      </w:tr>
      <w:tr>
        <w:tc>
          <w:tcPr>
            <w:tcW w:type="dxa" w:w="4320"/>
            <w:shd w:val="clear" w:color="auto" w:fill="F8FAFD"/>
          </w:tcPr>
          <w:p>
            <w:r/>
            <w:r>
              <w:t>1,229</w:t>
            </w:r>
          </w:p>
        </w:tc>
        <w:tc>
          <w:tcPr>
            <w:tcW w:type="dxa" w:w="4320"/>
            <w:shd w:val="clear" w:color="auto" w:fill="F8FAFD"/>
          </w:tcPr>
          <w:p>
            <w:r/>
            <w:r>
              <w:t>640 (full pool)</w:t>
            </w:r>
          </w:p>
        </w:tc>
      </w:tr>
    </w:tbl>
    <w:p>
      <w:r>
        <w:t xml:space="preserve">In a real Arariel run, the AVE relation is </w:t>
      </w:r>
      <w:r>
        <w:rPr>
          <w:i/>
        </w:rPr>
        <w:t>learned</w:t>
      </w:r>
      <w:r>
        <w:t xml:space="preserve"> from the satellite imagery itself — each Landsat scene gives both an elevation (from a co-located gauge or stage-discharge inversion) and a surface area, and the AVE curve is fit to the resulting cloud of points. For this demonstration, we use the USBR-published curve directly.</w:t>
      </w:r>
    </w:p>
    <w:p>
      <w:pPr>
        <w:jc w:val="center"/>
      </w:pPr>
      <w:r>
        <w:rPr>
          <w:color w:val="B6C2D3"/>
        </w:rPr>
        <w:t>__________________________________________________</w:t>
      </w:r>
    </w:p>
    <w:p>
      <w:pPr>
        <w:pStyle w:val="Heading2"/>
      </w:pPr>
      <w:r>
        <w:rPr>
          <w:rFonts w:ascii="Cambria" w:hAnsi="Cambria"/>
          <w:color w:val="2D6FBC"/>
          <w:sz w:val="30"/>
        </w:rPr>
        <w:t>3. Watermark extraction</w:t>
      </w:r>
    </w:p>
    <w:p>
      <w:pPr>
        <w:pStyle w:val="Heading3"/>
      </w:pPr>
      <w:r>
        <w:rPr>
          <w:rFonts w:ascii="Cambria" w:hAnsi="Cambria"/>
          <w:sz w:val="25"/>
        </w:rPr>
        <w:t>3.1 Definition</w:t>
      </w:r>
    </w:p>
    <w:p>
      <w:r>
        <w:t xml:space="preserve">For each year </w:t>
      </w:r>
      <w:r>
        <w:rPr>
          <w:i/>
        </w:rPr>
        <w:t>y</w:t>
      </w:r>
      <w:r>
        <w:t xml:space="preserve"> in the analysis period, the </w:t>
      </w:r>
      <w:r>
        <w:rPr>
          <w:b/>
        </w:rPr>
        <w:t>HIGH watermark</w:t>
      </w:r>
      <w:r>
        <w:t xml:space="preserve"> is the maximum monthly elevation observed (typically post-snowmelt, May–August), and the </w:t>
      </w:r>
      <w:r>
        <w:rPr>
          <w:b/>
        </w:rPr>
        <w:t>LOW watermark</w:t>
      </w:r>
      <w:r>
        <w:t xml:space="preserve"> is the minimum (typically pre-melt drawdown, January–April, or in deeply declining years, December).</w:t>
      </w:r>
    </w:p>
    <w:p>
      <w:r>
        <w:t xml:space="preserve">The annual HIGH–LOW drop measures intra-year drawdown — a proxy for </w:t>
      </w:r>
      <w:r>
        <w:rPr>
          <w:i/>
        </w:rPr>
        <w:t>withdrawal exceeding inflow</w:t>
      </w:r>
      <w:r>
        <w:t xml:space="preserve"> during that year.</w:t>
      </w:r>
    </w:p>
    <w:p>
      <w:pPr>
        <w:pStyle w:val="Heading3"/>
      </w:pPr>
      <w:r>
        <w:rPr>
          <w:rFonts w:ascii="Cambria" w:hAnsi="Cambria"/>
          <w:sz w:val="25"/>
        </w:rPr>
        <w:t>3.2 Results table (abbreviated — full dataset attached)</w:t>
      </w:r>
    </w:p>
    <w:tbl>
      <w:tblPr>
        <w:tblStyle w:val="LightGrid-Accent1"/>
        <w:tblW w:type="auto" w:w="0"/>
        <w:tblLook w:firstColumn="1" w:firstRow="1" w:lastColumn="0" w:lastRow="0" w:noHBand="0" w:noVBand="1" w:val="04A0"/>
      </w:tblPr>
      <w:tblGrid>
        <w:gridCol w:w="1440"/>
        <w:gridCol w:w="1440"/>
        <w:gridCol w:w="1440"/>
        <w:gridCol w:w="1440"/>
        <w:gridCol w:w="1440"/>
        <w:gridCol w:w="1440"/>
      </w:tblGrid>
      <w:tr>
        <w:tc>
          <w:tcPr>
            <w:tcW w:type="dxa" w:w="1440"/>
            <w:shd w:val="clear" w:color="auto" w:fill="E8EEF7"/>
          </w:tcPr>
          <w:p>
            <w:r>
              <w:rPr>
                <w:b/>
                <w:color w:val="2D6FBC"/>
              </w:rPr>
            </w:r>
            <w:r>
              <w:rPr>
                <w:b/>
                <w:color w:val="2D6FBC"/>
              </w:rPr>
              <w:t>Year</w:t>
            </w:r>
          </w:p>
        </w:tc>
        <w:tc>
          <w:tcPr>
            <w:tcW w:type="dxa" w:w="1440"/>
            <w:shd w:val="clear" w:color="auto" w:fill="E8EEF7"/>
          </w:tcPr>
          <w:p>
            <w:r>
              <w:rPr>
                <w:b/>
                <w:color w:val="2D6FBC"/>
              </w:rPr>
            </w:r>
            <w:r>
              <w:rPr>
                <w:b/>
                <w:color w:val="2D6FBC"/>
              </w:rPr>
              <w:t>HIGH (ft)</w:t>
            </w:r>
          </w:p>
        </w:tc>
        <w:tc>
          <w:tcPr>
            <w:tcW w:type="dxa" w:w="1440"/>
            <w:shd w:val="clear" w:color="auto" w:fill="E8EEF7"/>
          </w:tcPr>
          <w:p>
            <w:r>
              <w:rPr>
                <w:b/>
                <w:color w:val="2D6FBC"/>
              </w:rPr>
            </w:r>
            <w:r>
              <w:rPr>
                <w:b/>
                <w:color w:val="2D6FBC"/>
              </w:rPr>
              <w:t>HIGH area (km²)</w:t>
            </w:r>
          </w:p>
        </w:tc>
        <w:tc>
          <w:tcPr>
            <w:tcW w:type="dxa" w:w="1440"/>
            <w:shd w:val="clear" w:color="auto" w:fill="E8EEF7"/>
          </w:tcPr>
          <w:p>
            <w:r>
              <w:rPr>
                <w:b/>
                <w:color w:val="2D6FBC"/>
              </w:rPr>
            </w:r>
            <w:r>
              <w:rPr>
                <w:b/>
                <w:color w:val="2D6FBC"/>
              </w:rPr>
              <w:t>LOW (ft)</w:t>
            </w:r>
          </w:p>
        </w:tc>
        <w:tc>
          <w:tcPr>
            <w:tcW w:type="dxa" w:w="1440"/>
            <w:shd w:val="clear" w:color="auto" w:fill="E8EEF7"/>
          </w:tcPr>
          <w:p>
            <w:r>
              <w:rPr>
                <w:b/>
                <w:color w:val="2D6FBC"/>
              </w:rPr>
            </w:r>
            <w:r>
              <w:rPr>
                <w:b/>
                <w:color w:val="2D6FBC"/>
              </w:rPr>
              <w:t>LOW area (km²)</w:t>
            </w:r>
          </w:p>
        </w:tc>
        <w:tc>
          <w:tcPr>
            <w:tcW w:type="dxa" w:w="1440"/>
            <w:shd w:val="clear" w:color="auto" w:fill="E8EEF7"/>
          </w:tcPr>
          <w:p>
            <w:r>
              <w:rPr>
                <w:b/>
                <w:color w:val="2D6FBC"/>
              </w:rPr>
            </w:r>
            <w:r>
              <w:rPr>
                <w:b/>
                <w:color w:val="2D6FBC"/>
              </w:rPr>
              <w:t>Drop (ft)</w:t>
            </w:r>
          </w:p>
        </w:tc>
      </w:tr>
      <w:tr>
        <w:tc>
          <w:tcPr>
            <w:tcW w:type="dxa" w:w="1440"/>
          </w:tcPr>
          <w:p>
            <w:r/>
            <w:r>
              <w:t>2000</w:t>
            </w:r>
          </w:p>
        </w:tc>
        <w:tc>
          <w:tcPr>
            <w:tcW w:type="dxa" w:w="1440"/>
          </w:tcPr>
          <w:p>
            <w:r/>
            <w:r>
              <w:t>1,217</w:t>
            </w:r>
          </w:p>
        </w:tc>
        <w:tc>
          <w:tcPr>
            <w:tcW w:type="dxa" w:w="1440"/>
          </w:tcPr>
          <w:p>
            <w:r/>
            <w:r>
              <w:t>624.5</w:t>
            </w:r>
          </w:p>
        </w:tc>
        <w:tc>
          <w:tcPr>
            <w:tcW w:type="dxa" w:w="1440"/>
          </w:tcPr>
          <w:p>
            <w:r/>
            <w:r>
              <w:t>1,209</w:t>
            </w:r>
          </w:p>
        </w:tc>
        <w:tc>
          <w:tcPr>
            <w:tcW w:type="dxa" w:w="1440"/>
          </w:tcPr>
          <w:p>
            <w:r/>
            <w:r>
              <w:t>610.2</w:t>
            </w:r>
          </w:p>
        </w:tc>
        <w:tc>
          <w:tcPr>
            <w:tcW w:type="dxa" w:w="1440"/>
          </w:tcPr>
          <w:p>
            <w:r/>
            <w:r>
              <w:t>8.0</w:t>
            </w:r>
          </w:p>
        </w:tc>
      </w:tr>
      <w:tr>
        <w:tc>
          <w:tcPr>
            <w:tcW w:type="dxa" w:w="1440"/>
            <w:shd w:val="clear" w:color="auto" w:fill="F8FAFD"/>
          </w:tcPr>
          <w:p>
            <w:r/>
            <w:r>
              <w:t>2002</w:t>
            </w:r>
          </w:p>
        </w:tc>
        <w:tc>
          <w:tcPr>
            <w:tcW w:type="dxa" w:w="1440"/>
            <w:shd w:val="clear" w:color="auto" w:fill="F8FAFD"/>
          </w:tcPr>
          <w:p>
            <w:r/>
            <w:r>
              <w:t>1,196</w:t>
            </w:r>
          </w:p>
        </w:tc>
        <w:tc>
          <w:tcPr>
            <w:tcW w:type="dxa" w:w="1440"/>
            <w:shd w:val="clear" w:color="auto" w:fill="F8FAFD"/>
          </w:tcPr>
          <w:p>
            <w:r/>
            <w:r>
              <w:t>586.8</w:t>
            </w:r>
          </w:p>
        </w:tc>
        <w:tc>
          <w:tcPr>
            <w:tcW w:type="dxa" w:w="1440"/>
            <w:shd w:val="clear" w:color="auto" w:fill="F8FAFD"/>
          </w:tcPr>
          <w:p>
            <w:r/>
            <w:r>
              <w:t>1,167</w:t>
            </w:r>
          </w:p>
        </w:tc>
        <w:tc>
          <w:tcPr>
            <w:tcW w:type="dxa" w:w="1440"/>
            <w:shd w:val="clear" w:color="auto" w:fill="F8FAFD"/>
          </w:tcPr>
          <w:p>
            <w:r/>
            <w:r>
              <w:t>540.1</w:t>
            </w:r>
          </w:p>
        </w:tc>
        <w:tc>
          <w:tcPr>
            <w:tcW w:type="dxa" w:w="1440"/>
            <w:shd w:val="clear" w:color="auto" w:fill="F8FAFD"/>
          </w:tcPr>
          <w:p>
            <w:r/>
            <w:r>
              <w:t>29.0</w:t>
            </w:r>
          </w:p>
        </w:tc>
      </w:tr>
      <w:tr>
        <w:tc>
          <w:tcPr>
            <w:tcW w:type="dxa" w:w="1440"/>
          </w:tcPr>
          <w:p>
            <w:r/>
            <w:r>
              <w:t>2005</w:t>
            </w:r>
          </w:p>
        </w:tc>
        <w:tc>
          <w:tcPr>
            <w:tcW w:type="dxa" w:w="1440"/>
          </w:tcPr>
          <w:p>
            <w:r/>
            <w:r>
              <w:t>1,142</w:t>
            </w:r>
          </w:p>
        </w:tc>
        <w:tc>
          <w:tcPr>
            <w:tcW w:type="dxa" w:w="1440"/>
          </w:tcPr>
          <w:p>
            <w:r/>
            <w:r>
              <w:t>500.6</w:t>
            </w:r>
          </w:p>
        </w:tc>
        <w:tc>
          <w:tcPr>
            <w:tcW w:type="dxa" w:w="1440"/>
          </w:tcPr>
          <w:p>
            <w:r/>
            <w:r>
              <w:t>1,132</w:t>
            </w:r>
          </w:p>
        </w:tc>
        <w:tc>
          <w:tcPr>
            <w:tcW w:type="dxa" w:w="1440"/>
          </w:tcPr>
          <w:p>
            <w:r/>
            <w:r>
              <w:t>487.6</w:t>
            </w:r>
          </w:p>
        </w:tc>
        <w:tc>
          <w:tcPr>
            <w:tcW w:type="dxa" w:w="1440"/>
          </w:tcPr>
          <w:p>
            <w:r/>
            <w:r>
              <w:t>10.0</w:t>
            </w:r>
          </w:p>
        </w:tc>
      </w:tr>
      <w:tr>
        <w:tc>
          <w:tcPr>
            <w:tcW w:type="dxa" w:w="1440"/>
            <w:shd w:val="clear" w:color="auto" w:fill="F8FAFD"/>
          </w:tcPr>
          <w:p>
            <w:r/>
            <w:r>
              <w:t>2010</w:t>
            </w:r>
          </w:p>
        </w:tc>
        <w:tc>
          <w:tcPr>
            <w:tcW w:type="dxa" w:w="1440"/>
            <w:shd w:val="clear" w:color="auto" w:fill="F8FAFD"/>
          </w:tcPr>
          <w:p>
            <w:r/>
            <w:r>
              <w:t>1,095</w:t>
            </w:r>
          </w:p>
        </w:tc>
        <w:tc>
          <w:tcPr>
            <w:tcW w:type="dxa" w:w="1440"/>
            <w:shd w:val="clear" w:color="auto" w:fill="F8FAFD"/>
          </w:tcPr>
          <w:p>
            <w:r/>
            <w:r>
              <w:t>411.7</w:t>
            </w:r>
          </w:p>
        </w:tc>
        <w:tc>
          <w:tcPr>
            <w:tcW w:type="dxa" w:w="1440"/>
            <w:shd w:val="clear" w:color="auto" w:fill="F8FAFD"/>
          </w:tcPr>
          <w:p>
            <w:r/>
            <w:r>
              <w:t>1,083</w:t>
            </w:r>
          </w:p>
        </w:tc>
        <w:tc>
          <w:tcPr>
            <w:tcW w:type="dxa" w:w="1440"/>
            <w:shd w:val="clear" w:color="auto" w:fill="F8FAFD"/>
          </w:tcPr>
          <w:p>
            <w:r/>
            <w:r>
              <w:t>388.0</w:t>
            </w:r>
          </w:p>
        </w:tc>
        <w:tc>
          <w:tcPr>
            <w:tcW w:type="dxa" w:w="1440"/>
            <w:shd w:val="clear" w:color="auto" w:fill="F8FAFD"/>
          </w:tcPr>
          <w:p>
            <w:r/>
            <w:r>
              <w:t>12.0</w:t>
            </w:r>
          </w:p>
        </w:tc>
      </w:tr>
      <w:tr>
        <w:tc>
          <w:tcPr>
            <w:tcW w:type="dxa" w:w="1440"/>
          </w:tcPr>
          <w:p>
            <w:r/>
            <w:r>
              <w:t>2014</w:t>
            </w:r>
          </w:p>
        </w:tc>
        <w:tc>
          <w:tcPr>
            <w:tcW w:type="dxa" w:w="1440"/>
          </w:tcPr>
          <w:p>
            <w:r/>
            <w:r>
              <w:t>1,086</w:t>
            </w:r>
          </w:p>
        </w:tc>
        <w:tc>
          <w:tcPr>
            <w:tcW w:type="dxa" w:w="1440"/>
          </w:tcPr>
          <w:p>
            <w:r/>
            <w:r>
              <w:t>394.3</w:t>
            </w:r>
          </w:p>
        </w:tc>
        <w:tc>
          <w:tcPr>
            <w:tcW w:type="dxa" w:w="1440"/>
          </w:tcPr>
          <w:p>
            <w:r/>
            <w:r>
              <w:t>1,076</w:t>
            </w:r>
          </w:p>
        </w:tc>
        <w:tc>
          <w:tcPr>
            <w:tcW w:type="dxa" w:w="1440"/>
          </w:tcPr>
          <w:p>
            <w:r/>
            <w:r>
              <w:t>373.7</w:t>
            </w:r>
          </w:p>
        </w:tc>
        <w:tc>
          <w:tcPr>
            <w:tcW w:type="dxa" w:w="1440"/>
          </w:tcPr>
          <w:p>
            <w:r/>
            <w:r>
              <w:t>10.0</w:t>
            </w:r>
          </w:p>
        </w:tc>
      </w:tr>
      <w:tr>
        <w:tc>
          <w:tcPr>
            <w:tcW w:type="dxa" w:w="1440"/>
            <w:shd w:val="clear" w:color="auto" w:fill="F8FAFD"/>
          </w:tcPr>
          <w:p>
            <w:r/>
            <w:r>
              <w:t>2016</w:t>
            </w:r>
          </w:p>
        </w:tc>
        <w:tc>
          <w:tcPr>
            <w:tcW w:type="dxa" w:w="1440"/>
            <w:shd w:val="clear" w:color="auto" w:fill="F8FAFD"/>
          </w:tcPr>
          <w:p>
            <w:r/>
            <w:r>
              <w:t>1,086</w:t>
            </w:r>
          </w:p>
        </w:tc>
        <w:tc>
          <w:tcPr>
            <w:tcW w:type="dxa" w:w="1440"/>
            <w:shd w:val="clear" w:color="auto" w:fill="F8FAFD"/>
          </w:tcPr>
          <w:p>
            <w:r/>
            <w:r>
              <w:t>394.3</w:t>
            </w:r>
          </w:p>
        </w:tc>
        <w:tc>
          <w:tcPr>
            <w:tcW w:type="dxa" w:w="1440"/>
            <w:shd w:val="clear" w:color="auto" w:fill="F8FAFD"/>
          </w:tcPr>
          <w:p>
            <w:r/>
            <w:r>
              <w:t>1,071</w:t>
            </w:r>
          </w:p>
        </w:tc>
        <w:tc>
          <w:tcPr>
            <w:tcW w:type="dxa" w:w="1440"/>
            <w:shd w:val="clear" w:color="auto" w:fill="F8FAFD"/>
          </w:tcPr>
          <w:p>
            <w:r/>
            <w:r>
              <w:t>355.7</w:t>
            </w:r>
          </w:p>
        </w:tc>
        <w:tc>
          <w:tcPr>
            <w:tcW w:type="dxa" w:w="1440"/>
            <w:shd w:val="clear" w:color="auto" w:fill="F8FAFD"/>
          </w:tcPr>
          <w:p>
            <w:r/>
            <w:r>
              <w:t>15.0</w:t>
            </w:r>
          </w:p>
        </w:tc>
      </w:tr>
      <w:tr>
        <w:tc>
          <w:tcPr>
            <w:tcW w:type="dxa" w:w="1440"/>
          </w:tcPr>
          <w:p>
            <w:r/>
            <w:r>
              <w:t>2019</w:t>
            </w:r>
          </w:p>
        </w:tc>
        <w:tc>
          <w:tcPr>
            <w:tcW w:type="dxa" w:w="1440"/>
          </w:tcPr>
          <w:p>
            <w:r/>
            <w:r>
              <w:t>1,090</w:t>
            </w:r>
          </w:p>
        </w:tc>
        <w:tc>
          <w:tcPr>
            <w:tcW w:type="dxa" w:w="1440"/>
          </w:tcPr>
          <w:p>
            <w:r/>
            <w:r>
              <w:t>402.7</w:t>
            </w:r>
          </w:p>
        </w:tc>
        <w:tc>
          <w:tcPr>
            <w:tcW w:type="dxa" w:w="1440"/>
          </w:tcPr>
          <w:p>
            <w:r/>
            <w:r>
              <w:t>1,083</w:t>
            </w:r>
          </w:p>
        </w:tc>
        <w:tc>
          <w:tcPr>
            <w:tcW w:type="dxa" w:w="1440"/>
          </w:tcPr>
          <w:p>
            <w:r/>
            <w:r>
              <w:t>388.0</w:t>
            </w:r>
          </w:p>
        </w:tc>
        <w:tc>
          <w:tcPr>
            <w:tcW w:type="dxa" w:w="1440"/>
          </w:tcPr>
          <w:p>
            <w:r/>
            <w:r>
              <w:t>7.0</w:t>
            </w:r>
          </w:p>
        </w:tc>
      </w:tr>
      <w:tr>
        <w:tc>
          <w:tcPr>
            <w:tcW w:type="dxa" w:w="1440"/>
            <w:shd w:val="clear" w:color="auto" w:fill="F8FAFD"/>
          </w:tcPr>
          <w:p>
            <w:r/>
            <w:r>
              <w:t>2021</w:t>
            </w:r>
          </w:p>
        </w:tc>
        <w:tc>
          <w:tcPr>
            <w:tcW w:type="dxa" w:w="1440"/>
            <w:shd w:val="clear" w:color="auto" w:fill="F8FAFD"/>
          </w:tcPr>
          <w:p>
            <w:r/>
            <w:r>
              <w:t>1,085</w:t>
            </w:r>
          </w:p>
        </w:tc>
        <w:tc>
          <w:tcPr>
            <w:tcW w:type="dxa" w:w="1440"/>
            <w:shd w:val="clear" w:color="auto" w:fill="F8FAFD"/>
          </w:tcPr>
          <w:p>
            <w:r/>
            <w:r>
              <w:t>392.0</w:t>
            </w:r>
          </w:p>
        </w:tc>
        <w:tc>
          <w:tcPr>
            <w:tcW w:type="dxa" w:w="1440"/>
            <w:shd w:val="clear" w:color="auto" w:fill="F8FAFD"/>
          </w:tcPr>
          <w:p>
            <w:r/>
            <w:r>
              <w:t>1,065</w:t>
            </w:r>
          </w:p>
        </w:tc>
        <w:tc>
          <w:tcPr>
            <w:tcW w:type="dxa" w:w="1440"/>
            <w:shd w:val="clear" w:color="auto" w:fill="F8FAFD"/>
          </w:tcPr>
          <w:p>
            <w:r/>
            <w:r>
              <w:t>346.0</w:t>
            </w:r>
          </w:p>
        </w:tc>
        <w:tc>
          <w:tcPr>
            <w:tcW w:type="dxa" w:w="1440"/>
            <w:shd w:val="clear" w:color="auto" w:fill="F8FAFD"/>
          </w:tcPr>
          <w:p>
            <w:r/>
            <w:r>
              <w:t>20.0</w:t>
            </w:r>
          </w:p>
        </w:tc>
      </w:tr>
      <w:tr>
        <w:tc>
          <w:tcPr>
            <w:tcW w:type="dxa" w:w="1440"/>
          </w:tcPr>
          <w:p>
            <w:r/>
            <w:r>
              <w:rPr>
                <w:b/>
              </w:rPr>
              <w:t>2022</w:t>
            </w:r>
          </w:p>
        </w:tc>
        <w:tc>
          <w:tcPr>
            <w:tcW w:type="dxa" w:w="1440"/>
          </w:tcPr>
          <w:p>
            <w:r/>
            <w:r>
              <w:rPr>
                <w:b/>
              </w:rPr>
              <w:t>1,065</w:t>
            </w:r>
          </w:p>
        </w:tc>
        <w:tc>
          <w:tcPr>
            <w:tcW w:type="dxa" w:w="1440"/>
          </w:tcPr>
          <w:p>
            <w:r/>
            <w:r>
              <w:rPr>
                <w:b/>
              </w:rPr>
              <w:t>346.0</w:t>
            </w:r>
          </w:p>
        </w:tc>
        <w:tc>
          <w:tcPr>
            <w:tcW w:type="dxa" w:w="1440"/>
          </w:tcPr>
          <w:p>
            <w:r/>
            <w:r>
              <w:rPr>
                <w:b/>
              </w:rPr>
              <w:t>1,041</w:t>
            </w:r>
          </w:p>
        </w:tc>
        <w:tc>
          <w:tcPr>
            <w:tcW w:type="dxa" w:w="1440"/>
          </w:tcPr>
          <w:p>
            <w:r/>
            <w:r>
              <w:rPr>
                <w:b/>
              </w:rPr>
              <w:t>330.0</w:t>
            </w:r>
          </w:p>
        </w:tc>
        <w:tc>
          <w:tcPr>
            <w:tcW w:type="dxa" w:w="1440"/>
          </w:tcPr>
          <w:p>
            <w:r/>
            <w:r>
              <w:rPr>
                <w:b/>
              </w:rPr>
              <w:t>24.0</w:t>
            </w:r>
          </w:p>
        </w:tc>
      </w:tr>
      <w:tr>
        <w:tc>
          <w:tcPr>
            <w:tcW w:type="dxa" w:w="1440"/>
            <w:shd w:val="clear" w:color="auto" w:fill="F8FAFD"/>
          </w:tcPr>
          <w:p>
            <w:r/>
            <w:r>
              <w:t>2023</w:t>
            </w:r>
          </w:p>
        </w:tc>
        <w:tc>
          <w:tcPr>
            <w:tcW w:type="dxa" w:w="1440"/>
            <w:shd w:val="clear" w:color="auto" w:fill="F8FAFD"/>
          </w:tcPr>
          <w:p>
            <w:r/>
            <w:r>
              <w:t>1,064</w:t>
            </w:r>
          </w:p>
        </w:tc>
        <w:tc>
          <w:tcPr>
            <w:tcW w:type="dxa" w:w="1440"/>
            <w:shd w:val="clear" w:color="auto" w:fill="F8FAFD"/>
          </w:tcPr>
          <w:p>
            <w:r/>
            <w:r>
              <w:t>343.6</w:t>
            </w:r>
          </w:p>
        </w:tc>
        <w:tc>
          <w:tcPr>
            <w:tcW w:type="dxa" w:w="1440"/>
            <w:shd w:val="clear" w:color="auto" w:fill="F8FAFD"/>
          </w:tcPr>
          <w:p>
            <w:r/>
            <w:r>
              <w:t>1,045</w:t>
            </w:r>
          </w:p>
        </w:tc>
        <w:tc>
          <w:tcPr>
            <w:tcW w:type="dxa" w:w="1440"/>
            <w:shd w:val="clear" w:color="auto" w:fill="F8FAFD"/>
          </w:tcPr>
          <w:p>
            <w:r/>
            <w:r>
              <w:t>326.8</w:t>
            </w:r>
          </w:p>
        </w:tc>
        <w:tc>
          <w:tcPr>
            <w:tcW w:type="dxa" w:w="1440"/>
            <w:shd w:val="clear" w:color="auto" w:fill="F8FAFD"/>
          </w:tcPr>
          <w:p>
            <w:r/>
            <w:r>
              <w:t>19.0</w:t>
            </w:r>
          </w:p>
        </w:tc>
      </w:tr>
      <w:tr>
        <w:tc>
          <w:tcPr>
            <w:tcW w:type="dxa" w:w="1440"/>
          </w:tcPr>
          <w:p>
            <w:r/>
            <w:r>
              <w:t>2024</w:t>
            </w:r>
          </w:p>
        </w:tc>
        <w:tc>
          <w:tcPr>
            <w:tcW w:type="dxa" w:w="1440"/>
          </w:tcPr>
          <w:p>
            <w:r/>
            <w:r>
              <w:t>1,067</w:t>
            </w:r>
          </w:p>
        </w:tc>
        <w:tc>
          <w:tcPr>
            <w:tcW w:type="dxa" w:w="1440"/>
          </w:tcPr>
          <w:p>
            <w:r/>
            <w:r>
              <w:t>349.4</w:t>
            </w:r>
          </w:p>
        </w:tc>
        <w:tc>
          <w:tcPr>
            <w:tcW w:type="dxa" w:w="1440"/>
          </w:tcPr>
          <w:p>
            <w:r/>
            <w:r>
              <w:t>1,062</w:t>
            </w:r>
          </w:p>
        </w:tc>
        <w:tc>
          <w:tcPr>
            <w:tcW w:type="dxa" w:w="1440"/>
          </w:tcPr>
          <w:p>
            <w:r/>
            <w:r>
              <w:t>341.6</w:t>
            </w:r>
          </w:p>
        </w:tc>
        <w:tc>
          <w:tcPr>
            <w:tcW w:type="dxa" w:w="1440"/>
          </w:tcPr>
          <w:p>
            <w:r/>
            <w:r>
              <w:t>5.0</w:t>
            </w:r>
          </w:p>
        </w:tc>
      </w:tr>
      <w:tr>
        <w:tc>
          <w:tcPr>
            <w:tcW w:type="dxa" w:w="1440"/>
            <w:shd w:val="clear" w:color="auto" w:fill="F8FAFD"/>
          </w:tcPr>
          <w:p>
            <w:r/>
            <w:r>
              <w:t>2025</w:t>
            </w:r>
            <w:r>
              <w:t>*</w:t>
            </w:r>
          </w:p>
        </w:tc>
        <w:tc>
          <w:tcPr>
            <w:tcW w:type="dxa" w:w="1440"/>
            <w:shd w:val="clear" w:color="auto" w:fill="F8FAFD"/>
          </w:tcPr>
          <w:p>
            <w:r/>
            <w:r>
              <w:t>1,072</w:t>
            </w:r>
          </w:p>
        </w:tc>
        <w:tc>
          <w:tcPr>
            <w:tcW w:type="dxa" w:w="1440"/>
            <w:shd w:val="clear" w:color="auto" w:fill="F8FAFD"/>
          </w:tcPr>
          <w:p>
            <w:r/>
            <w:r>
              <w:t>355.0</w:t>
            </w:r>
          </w:p>
        </w:tc>
        <w:tc>
          <w:tcPr>
            <w:tcW w:type="dxa" w:w="1440"/>
            <w:shd w:val="clear" w:color="auto" w:fill="F8FAFD"/>
          </w:tcPr>
          <w:p>
            <w:r/>
            <w:r>
              <w:t>1,064</w:t>
            </w:r>
          </w:p>
        </w:tc>
        <w:tc>
          <w:tcPr>
            <w:tcW w:type="dxa" w:w="1440"/>
            <w:shd w:val="clear" w:color="auto" w:fill="F8FAFD"/>
          </w:tcPr>
          <w:p>
            <w:r/>
            <w:r>
              <w:t>344.0</w:t>
            </w:r>
          </w:p>
        </w:tc>
        <w:tc>
          <w:tcPr>
            <w:tcW w:type="dxa" w:w="1440"/>
            <w:shd w:val="clear" w:color="auto" w:fill="F8FAFD"/>
          </w:tcPr>
          <w:p>
            <w:r/>
            <w:r>
              <w:t>8.0</w:t>
            </w:r>
          </w:p>
        </w:tc>
      </w:tr>
    </w:tbl>
    <w:p>
      <w:r>
        <w:t>*</w:t>
      </w:r>
      <w:r>
        <w:t xml:space="preserve"> 2025 is a partial year (January through April observation).</w:t>
      </w:r>
    </w:p>
    <w:p>
      <w:r>
        <w:t xml:space="preserve">The full 52-row dataset (26 years × 2 watermarks) is provided as </w:t>
      </w:r>
      <w:r>
        <w:rPr>
          <w:rFonts w:ascii="Consolas" w:hAnsi="Consolas"/>
          <w:color w:val="2D6FBC"/>
          <w:sz w:val="19"/>
        </w:rPr>
        <w:t>hoover-watermarks.csv</w:t>
      </w:r>
      <w:r>
        <w:t xml:space="preserve"> and </w:t>
      </w:r>
      <w:r>
        <w:rPr>
          <w:rFonts w:ascii="Consolas" w:hAnsi="Consolas"/>
          <w:color w:val="2D6FBC"/>
          <w:sz w:val="19"/>
        </w:rPr>
        <w:t>hoover-watermarks.xlsx</w:t>
      </w:r>
      <w:r>
        <w:t xml:space="preserve">. The CSV columns are </w:t>
      </w:r>
      <w:r>
        <w:rPr>
          <w:rFonts w:ascii="Consolas" w:hAnsi="Consolas"/>
          <w:color w:val="2D6FBC"/>
          <w:sz w:val="19"/>
        </w:rPr>
        <w:t>reservoir, year, phase, observation_date, elevation_ft, surface_area_km2, scene_id, sensor, cloud_cover_pct, mndwi_threshold, notes</w:t>
      </w:r>
      <w:r>
        <w:t>.</w:t>
      </w:r>
    </w:p>
    <w:p>
      <w:pPr>
        <w:pStyle w:val="Heading3"/>
      </w:pPr>
      <w:r>
        <w:rPr>
          <w:rFonts w:ascii="Cambria" w:hAnsi="Cambria"/>
          <w:sz w:val="25"/>
        </w:rPr>
        <w:t>3.3 Sensor transition notes</w:t>
      </w:r>
    </w:p>
    <w:p>
      <w:r>
        <w:t>The 2013 → 2014 boundary corresponds to the operational shift from Landsat-7 to Landsat-8. ETM+ suffered a scan-line corrector failure in 2003, which introduces wedge-shaped gaps in every Landsat-7 scene post-May-2003. Arariel handles this by gap-filling with co-located MODIS or by skipping affected scenes; for this Lake Mead study, the reservoir is large enough relative to the scene gap (~22% of pixels lost) that ETM+ scenes remain usable.</w:t>
      </w:r>
    </w:p>
    <w:p>
      <w:r>
        <w:t>The 2021 → 2022 transition adds Landsat-9, which co-flies with Landsat-8 and effectively halves the inter-scene interval to ~8 days. The 2022 record-low watermark (July 2022, 1,041 ft) was captured by Landsat-9.</w:t>
      </w:r>
    </w:p>
    <w:p>
      <w:pPr>
        <w:jc w:val="center"/>
      </w:pPr>
      <w:r>
        <w:rPr>
          <w:color w:val="B6C2D3"/>
        </w:rPr>
        <w:t>__________________________________________________</w:t>
      </w:r>
    </w:p>
    <w:p>
      <w:pPr>
        <w:pStyle w:val="Heading2"/>
      </w:pPr>
      <w:r>
        <w:rPr>
          <w:rFonts w:ascii="Cambria" w:hAnsi="Cambria"/>
          <w:color w:val="2D6FBC"/>
          <w:sz w:val="30"/>
        </w:rPr>
        <w:t>4. Trend analysis &amp; forecast</w:t>
      </w:r>
    </w:p>
    <w:p>
      <w:pPr>
        <w:pStyle w:val="Heading3"/>
      </w:pPr>
      <w:r>
        <w:rPr>
          <w:rFonts w:ascii="Cambria" w:hAnsi="Cambria"/>
          <w:sz w:val="25"/>
        </w:rPr>
        <w:t>4.1 OLS fit on HIGH watermarks</w:t>
      </w:r>
    </w:p>
    <w:p>
      <w:r>
        <w:t>The 26 annual HIGH watermark observations are fitted with an ordinary-least-squares linear regression of elevation against year:</w:t>
      </w:r>
    </w:p>
    <w:p>
      <w:pPr>
        <w:ind w:left="360"/>
      </w:pPr>
      <w:r>
        <w:rPr>
          <w:rFonts w:ascii="Consolas" w:hAnsi="Consolas"/>
          <w:sz w:val="19"/>
        </w:rPr>
        <w:t>elev_high = β₀ + β₁ · year + ε</w:t>
        <w:br/>
      </w:r>
    </w:p>
    <w:p>
      <w:r>
        <w:t>Fitted parameters (computed live by the demonstration page from the same dataset):</w:t>
      </w:r>
    </w:p>
    <w:p>
      <w:pPr>
        <w:pStyle w:val="ListBullet"/>
      </w:pPr>
      <w:r>
        <w:rPr>
          <w:b/>
        </w:rPr>
        <w:t>Slope β₁ ≈ −5.0 ft/year</w:t>
      </w:r>
      <w:r>
        <w:t xml:space="preserve"> (peak elevation declining at ~5 ft per year)</w:t>
      </w:r>
    </w:p>
    <w:p>
      <w:pPr>
        <w:pStyle w:val="ListBullet"/>
      </w:pPr>
      <w:r>
        <w:rPr>
          <w:b/>
        </w:rPr>
        <w:t>Intercept β₀ ≈ +11,300 ft</w:t>
      </w:r>
      <w:r>
        <w:t xml:space="preserve"> (a meaningless extrapolation, included only for completeness)</w:t>
      </w:r>
    </w:p>
    <w:p>
      <w:pPr>
        <w:pStyle w:val="ListBullet"/>
      </w:pPr>
      <w:r>
        <w:rPr>
          <w:b/>
        </w:rPr>
        <w:t>Trend over 2000–2025:</w:t>
      </w:r>
      <w:r>
        <w:t xml:space="preserve"> ~130 ft total decline in peak elevation</w:t>
      </w:r>
    </w:p>
    <w:p>
      <w:pPr>
        <w:pStyle w:val="Heading3"/>
      </w:pPr>
      <w:r>
        <w:rPr>
          <w:rFonts w:ascii="Cambria" w:hAnsi="Cambria"/>
          <w:sz w:val="25"/>
        </w:rPr>
        <w:t>4.2 LOOCV skill assessment</w:t>
      </w:r>
    </w:p>
    <w:p>
      <w:r>
        <w:t>Leave-one-out cross-validation:</w:t>
      </w:r>
    </w:p>
    <w:p>
      <w:pPr>
        <w:pStyle w:val="ListNumber"/>
      </w:pPr>
      <w:r>
        <w:t xml:space="preserve">Hold out year </w:t>
      </w:r>
      <w:r>
        <w:rPr>
          <w:i/>
        </w:rPr>
        <w:t>i</w:t>
      </w:r>
      <w:r>
        <w:t>.</w:t>
      </w:r>
    </w:p>
    <w:p>
      <w:pPr>
        <w:pStyle w:val="ListNumber"/>
      </w:pPr>
      <w:r>
        <w:t>Fit OLS on the remaining 25 years.</w:t>
      </w:r>
    </w:p>
    <w:p>
      <w:pPr>
        <w:pStyle w:val="ListNumber"/>
      </w:pPr>
      <w:r>
        <w:t xml:space="preserve">Predict year </w:t>
      </w:r>
      <w:r>
        <w:rPr>
          <w:i/>
        </w:rPr>
        <w:t>i</w:t>
      </w:r>
      <w:r>
        <w:t>'s HIGH from the fit.</w:t>
      </w:r>
    </w:p>
    <w:p>
      <w:pPr>
        <w:pStyle w:val="ListNumber"/>
      </w:pPr>
      <w:r>
        <w:t>Record the residual.</w:t>
      </w:r>
    </w:p>
    <w:p>
      <w:pPr>
        <w:pStyle w:val="ListNumber"/>
      </w:pPr>
      <w:r>
        <w:t xml:space="preserve">Repeat for </w:t>
      </w:r>
      <w:r>
        <w:rPr>
          <w:i/>
        </w:rPr>
        <w:t>i</w:t>
      </w:r>
      <w:r>
        <w:t xml:space="preserve"> = 1…26.</w:t>
      </w:r>
    </w:p>
    <w:p>
      <w:r>
        <w:t>Aggregate metrics:</w:t>
      </w:r>
    </w:p>
    <w:p>
      <w:pPr>
        <w:pStyle w:val="ListBullet"/>
      </w:pPr>
      <w:r>
        <w:rPr>
          <w:b/>
        </w:rPr>
        <w:t>LOOCV RMSE:</w:t>
      </w:r>
      <w:r>
        <w:t xml:space="preserve"> ~11 ft</w:t>
      </w:r>
    </w:p>
    <w:p>
      <w:pPr>
        <w:pStyle w:val="ListBullet"/>
      </w:pPr>
      <w:r>
        <w:rPr>
          <w:b/>
        </w:rPr>
        <w:t>LOOCV r²:</w:t>
      </w:r>
      <w:r>
        <w:t xml:space="preserve"> ~0.93</w:t>
      </w:r>
    </w:p>
    <w:p>
      <w:r>
        <w:t>A 95% prediction interval at any future year is therefore ±1.96 × 11 ≈ ±22 ft.</w:t>
      </w:r>
    </w:p>
    <w:p>
      <w:pPr>
        <w:pStyle w:val="Heading3"/>
      </w:pPr>
      <w:r>
        <w:rPr>
          <w:rFonts w:ascii="Cambria" w:hAnsi="Cambria"/>
          <w:sz w:val="25"/>
        </w:rPr>
        <w:t>4.3 Forecast</w:t>
      </w:r>
    </w:p>
    <w:p>
      <w:r>
        <w:t>Applying the fit forward:</w:t>
      </w:r>
    </w:p>
    <w:tbl>
      <w:tblPr>
        <w:tblStyle w:val="LightGrid-Accent1"/>
        <w:tblW w:type="auto" w:w="0"/>
        <w:tblLook w:firstColumn="1" w:firstRow="1" w:lastColumn="0" w:lastRow="0" w:noHBand="0" w:noVBand="1" w:val="04A0"/>
      </w:tblPr>
      <w:tblGrid>
        <w:gridCol w:w="2880"/>
        <w:gridCol w:w="2880"/>
        <w:gridCol w:w="2880"/>
      </w:tblGrid>
      <w:tr>
        <w:tc>
          <w:tcPr>
            <w:tcW w:type="dxa" w:w="2880"/>
            <w:shd w:val="clear" w:color="auto" w:fill="E8EEF7"/>
          </w:tcPr>
          <w:p>
            <w:r>
              <w:rPr>
                <w:b/>
                <w:color w:val="2D6FBC"/>
              </w:rPr>
            </w:r>
            <w:r>
              <w:rPr>
                <w:b/>
                <w:color w:val="2D6FBC"/>
              </w:rPr>
              <w:t>Year</w:t>
            </w:r>
          </w:p>
        </w:tc>
        <w:tc>
          <w:tcPr>
            <w:tcW w:type="dxa" w:w="2880"/>
            <w:shd w:val="clear" w:color="auto" w:fill="E8EEF7"/>
          </w:tcPr>
          <w:p>
            <w:r>
              <w:rPr>
                <w:b/>
                <w:color w:val="2D6FBC"/>
              </w:rPr>
            </w:r>
            <w:r>
              <w:rPr>
                <w:b/>
                <w:color w:val="2D6FBC"/>
              </w:rPr>
              <w:t>OLS forecast (ft)</w:t>
            </w:r>
          </w:p>
        </w:tc>
        <w:tc>
          <w:tcPr>
            <w:tcW w:type="dxa" w:w="2880"/>
            <w:shd w:val="clear" w:color="auto" w:fill="E8EEF7"/>
          </w:tcPr>
          <w:p>
            <w:r>
              <w:rPr>
                <w:b/>
                <w:color w:val="2D6FBC"/>
              </w:rPr>
            </w:r>
            <w:r>
              <w:rPr>
                <w:b/>
                <w:color w:val="2D6FBC"/>
              </w:rPr>
              <w:t>95% prediction interval</w:t>
            </w:r>
          </w:p>
        </w:tc>
      </w:tr>
      <w:tr>
        <w:tc>
          <w:tcPr>
            <w:tcW w:type="dxa" w:w="2880"/>
          </w:tcPr>
          <w:p>
            <w:r/>
            <w:r>
              <w:t>2026</w:t>
            </w:r>
          </w:p>
        </w:tc>
        <w:tc>
          <w:tcPr>
            <w:tcW w:type="dxa" w:w="2880"/>
          </w:tcPr>
          <w:p>
            <w:r/>
            <w:r>
              <w:t>~1,067</w:t>
            </w:r>
          </w:p>
        </w:tc>
        <w:tc>
          <w:tcPr>
            <w:tcW w:type="dxa" w:w="2880"/>
          </w:tcPr>
          <w:p>
            <w:r/>
            <w:r>
              <w:t>1,045 – 1,089</w:t>
            </w:r>
          </w:p>
        </w:tc>
      </w:tr>
      <w:tr>
        <w:tc>
          <w:tcPr>
            <w:tcW w:type="dxa" w:w="2880"/>
            <w:shd w:val="clear" w:color="auto" w:fill="F8FAFD"/>
          </w:tcPr>
          <w:p>
            <w:r/>
            <w:r>
              <w:t>2027</w:t>
            </w:r>
          </w:p>
        </w:tc>
        <w:tc>
          <w:tcPr>
            <w:tcW w:type="dxa" w:w="2880"/>
            <w:shd w:val="clear" w:color="auto" w:fill="F8FAFD"/>
          </w:tcPr>
          <w:p>
            <w:r/>
            <w:r>
              <w:t>~1,062</w:t>
            </w:r>
          </w:p>
        </w:tc>
        <w:tc>
          <w:tcPr>
            <w:tcW w:type="dxa" w:w="2880"/>
            <w:shd w:val="clear" w:color="auto" w:fill="F8FAFD"/>
          </w:tcPr>
          <w:p>
            <w:r/>
            <w:r>
              <w:t>1,040 – 1,084</w:t>
            </w:r>
          </w:p>
        </w:tc>
      </w:tr>
    </w:tbl>
    <w:p>
      <w:r>
        <w:t xml:space="preserve">These numbers are computed live in the demonstration page from the same </w:t>
      </w:r>
      <w:r>
        <w:rPr>
          <w:rFonts w:ascii="Consolas" w:hAnsi="Consolas"/>
          <w:color w:val="2D6FBC"/>
          <w:sz w:val="19"/>
        </w:rPr>
        <w:t>hoover-watermarks.csv</w:t>
      </w:r>
      <w:r>
        <w:t xml:space="preserve"> dataset; small variations from the figures above will reflect dataset updates.</w:t>
      </w:r>
    </w:p>
    <w:p>
      <w:pPr>
        <w:pStyle w:val="Heading3"/>
      </w:pPr>
      <w:r>
        <w:rPr>
          <w:rFonts w:ascii="Cambria" w:hAnsi="Cambria"/>
          <w:sz w:val="25"/>
        </w:rPr>
        <w:t>4.4 Comparison with USBR's official projection</w:t>
      </w:r>
    </w:p>
    <w:p>
      <w:r>
        <w:t>USBR's August 2024 24-month operating projections give a low-probability range of approximately 1,060–1,080 ft for end-of-water-year 2026 — fully inside Arariel's 95% prediction band. Arariel was not used in USBR's projections; the methodologies are independent. Agreement is reassuring but not surprising given the strength of the trend.</w:t>
      </w:r>
    </w:p>
    <w:p>
      <w:pPr>
        <w:pStyle w:val="Heading3"/>
      </w:pPr>
      <w:r>
        <w:rPr>
          <w:rFonts w:ascii="Cambria" w:hAnsi="Cambria"/>
          <w:sz w:val="25"/>
        </w:rPr>
        <w:t>4.5 Caveats</w:t>
      </w:r>
    </w:p>
    <w:p>
      <w:pPr>
        <w:pStyle w:val="ListNumber"/>
      </w:pPr>
      <w:r>
        <w:rPr>
          <w:b/>
        </w:rPr>
        <w:t>OLS assumes linearity.</w:t>
      </w:r>
      <w:r>
        <w:t xml:space="preserve"> The 2023–25 recovery introduces a kink that linear regression can't represent. A piecewise or change-point model would fit better but at the cost of explainability.</w:t>
      </w:r>
    </w:p>
    <w:p>
      <w:pPr>
        <w:pStyle w:val="ListNumber"/>
      </w:pPr>
      <w:r>
        <w:rPr>
          <w:b/>
        </w:rPr>
        <w:t>Climate non-stationarity.</w:t>
      </w:r>
      <w:r>
        <w:t xml:space="preserve"> The Williams et al. (2022) megadrought literature argues the post-2000 hydrology is structurally different from pre-2000. Extrapolating a 25-year trend forward assumes that structural shift persists.</w:t>
      </w:r>
    </w:p>
    <w:p>
      <w:pPr>
        <w:pStyle w:val="ListNumber"/>
      </w:pPr>
      <w:r>
        <w:rPr>
          <w:b/>
        </w:rPr>
        <w:t>Operational interventions.</w:t>
      </w:r>
      <w:r>
        <w:t xml:space="preserve"> DCP curtailments, the 2023 Lower Basin states' agreement, and prospective Tier-3 actions all affect future elevations independent of natural inflow. A pure inflow-based forecast cannot capture them.</w:t>
      </w:r>
    </w:p>
    <w:p>
      <w:pPr>
        <w:pStyle w:val="ListNumber"/>
      </w:pPr>
      <w:r>
        <w:rPr>
          <w:b/>
        </w:rPr>
        <w:t>Forecast horizon.</w:t>
      </w:r>
      <w:r>
        <w:t xml:space="preserve"> OLS forecast skill degrades quickly past 2–3 years. Arariel's published forecasts are limited to a 24-month horizon in client deliverables.</w:t>
      </w:r>
    </w:p>
    <w:p>
      <w:pPr>
        <w:jc w:val="center"/>
      </w:pPr>
      <w:r>
        <w:rPr>
          <w:color w:val="B6C2D3"/>
        </w:rPr>
        <w:t>__________________________________________________</w:t>
      </w:r>
    </w:p>
    <w:p>
      <w:pPr>
        <w:pStyle w:val="Heading2"/>
      </w:pPr>
      <w:r>
        <w:rPr>
          <w:rFonts w:ascii="Cambria" w:hAnsi="Cambria"/>
          <w:color w:val="2D6FBC"/>
          <w:sz w:val="30"/>
        </w:rPr>
        <w:t>5. Discussion</w:t>
      </w:r>
    </w:p>
    <w:p>
      <w:pPr>
        <w:pStyle w:val="Heading3"/>
      </w:pPr>
      <w:r>
        <w:rPr>
          <w:rFonts w:ascii="Cambria" w:hAnsi="Cambria"/>
          <w:sz w:val="25"/>
        </w:rPr>
        <w:t>5.1 What this demonstrates about Arariel</w:t>
      </w:r>
    </w:p>
    <w:p>
      <w:r>
        <w:t>The Lake Mead test case shows three things:</w:t>
      </w:r>
    </w:p>
    <w:p>
      <w:pPr>
        <w:pStyle w:val="ListNumber"/>
      </w:pPr>
      <w:r>
        <w:rPr>
          <w:b/>
        </w:rPr>
        <w:t>The watermark workflow reproduces gauge data.</w:t>
      </w:r>
      <w:r>
        <w:t xml:space="preserve"> When MNDWI-derived surface areas are paired with the USBR AVE curve, the resulting elevation estimates track the gauge record to within Landsat's pixel-scale precision (~2–3 ft on a 30 m sensor at this reservoir's geometry).</w:t>
      </w:r>
    </w:p>
    <w:p>
      <w:pPr>
        <w:pStyle w:val="ListNumber"/>
      </w:pPr>
      <w:r>
        <w:rPr>
          <w:b/>
        </w:rPr>
        <w:t>The annual HIGH/LOW reduction is informative.</w:t>
      </w:r>
      <w:r>
        <w:t xml:space="preserve"> Distilling ~50 monthly observations per year into two numbers (peak and trough) loses information but produces a defensible inter-annual comparison set that supports trend analysis.</w:t>
      </w:r>
    </w:p>
    <w:p>
      <w:pPr>
        <w:pStyle w:val="ListNumber"/>
      </w:pPr>
      <w:r>
        <w:rPr>
          <w:b/>
        </w:rPr>
        <w:t>OLS + LOOCV is honest about uncertainty.</w:t>
      </w:r>
      <w:r>
        <w:t xml:space="preserve"> The ±22 ft confidence band on the 2026 forecast is wide enough to admit "we don't know exactly where it will land" while still being narrower than the inter-decadal trend. Tighter intervals would be misleading.</w:t>
      </w:r>
    </w:p>
    <w:p>
      <w:pPr>
        <w:pStyle w:val="Heading3"/>
      </w:pPr>
      <w:r>
        <w:rPr>
          <w:rFonts w:ascii="Cambria" w:hAnsi="Cambria"/>
          <w:sz w:val="25"/>
        </w:rPr>
        <w:t>5.2 What changes on a foreign reservoir</w:t>
      </w:r>
    </w:p>
    <w:p>
      <w:r>
        <w:t>For an ungauged or sparsely gauged reservoir abroad — say, Tarbela on the Indus, or Lake Volta on the Volta, or the Three Gorges Dam reservoir on the Yangtze — the workflow differs only in:</w:t>
      </w:r>
    </w:p>
    <w:p>
      <w:pPr>
        <w:pStyle w:val="ListBullet"/>
      </w:pPr>
      <w:r>
        <w:rPr>
          <w:b/>
        </w:rPr>
        <w:t>No ground truth.</w:t>
      </w:r>
      <w:r>
        <w:t xml:space="preserve"> The AVE curve must be derived from the imagery itself, not from a published table.</w:t>
      </w:r>
    </w:p>
    <w:p>
      <w:pPr>
        <w:pStyle w:val="ListBullet"/>
      </w:pPr>
      <w:r>
        <w:rPr>
          <w:b/>
        </w:rPr>
        <w:t>No operating projections.</w:t>
      </w:r>
      <w:r>
        <w:t xml:space="preserve"> There is no equivalent of USBR's 24-month studies to cross-check against. Arariel's output </w:t>
      </w:r>
      <w:r>
        <w:rPr>
          <w:i/>
        </w:rPr>
        <w:t>is</w:t>
      </w:r>
      <w:r>
        <w:t xml:space="preserve"> the projection.</w:t>
      </w:r>
    </w:p>
    <w:p>
      <w:pPr>
        <w:pStyle w:val="ListBullet"/>
      </w:pPr>
      <w:r>
        <w:rPr>
          <w:b/>
        </w:rPr>
        <w:t>Imagery availability varies.</w:t>
      </w:r>
      <w:r>
        <w:t xml:space="preserve"> Some reservoirs are cloud-prone year-round; Sentinel-2's higher revisit rate compensates. Others are at high latitudes where Landsat coverage is denser.</w:t>
      </w:r>
    </w:p>
    <w:p>
      <w:pPr>
        <w:pStyle w:val="Heading3"/>
      </w:pPr>
      <w:r>
        <w:rPr>
          <w:rFonts w:ascii="Cambria" w:hAnsi="Cambria"/>
          <w:sz w:val="25"/>
        </w:rPr>
        <w:t>5.3 Audiences for this data</w:t>
      </w:r>
    </w:p>
    <w:p>
      <w:r>
        <w:t>In the United States, Lake Mead is well-covered by USBR, USGS, and Reclamation district reporting. The value of Arariel-style independent analysis here is mostly:</w:t>
      </w:r>
    </w:p>
    <w:p>
      <w:pPr>
        <w:pStyle w:val="ListBullet"/>
      </w:pPr>
      <w:r>
        <w:rPr>
          <w:b/>
        </w:rPr>
        <w:t>Independent corroboration</w:t>
      </w:r>
      <w:r>
        <w:t xml:space="preserve"> of official forecasts</w:t>
      </w:r>
    </w:p>
    <w:p>
      <w:pPr>
        <w:pStyle w:val="ListBullet"/>
      </w:pPr>
      <w:r>
        <w:rPr>
          <w:b/>
        </w:rPr>
        <w:t>Long-term trend communication</w:t>
      </w:r>
      <w:r>
        <w:t xml:space="preserve"> to non-specialist audiences (journalists, policymakers, advocacy groups)</w:t>
      </w:r>
    </w:p>
    <w:p>
      <w:pPr>
        <w:pStyle w:val="ListBullet"/>
      </w:pPr>
      <w:r>
        <w:rPr>
          <w:b/>
        </w:rPr>
        <w:t>Cross-reservoir comparability</w:t>
      </w:r>
      <w:r>
        <w:t xml:space="preserve"> — running the same methodology on Powell, Mead, Pyramid, etc., produces directly comparable metrics</w:t>
      </w:r>
    </w:p>
    <w:p>
      <w:r>
        <w:t>Internationally, the value proposition shifts to:</w:t>
      </w:r>
    </w:p>
    <w:p>
      <w:pPr>
        <w:pStyle w:val="ListBullet"/>
      </w:pPr>
      <w:r>
        <w:rPr>
          <w:b/>
        </w:rPr>
        <w:t>Filling the gap</w:t>
      </w:r>
      <w:r>
        <w:t xml:space="preserve"> where official data is not published, not English-language, or not trusted</w:t>
      </w:r>
    </w:p>
    <w:p>
      <w:pPr>
        <w:pStyle w:val="ListBullet"/>
      </w:pPr>
      <w:r>
        <w:rPr>
          <w:b/>
        </w:rPr>
        <w:t>Defensible methodology</w:t>
      </w:r>
      <w:r>
        <w:t xml:space="preserve"> for litigation, treaty disputes, or insurance underwriting</w:t>
      </w:r>
    </w:p>
    <w:p>
      <w:pPr>
        <w:pStyle w:val="ListBullet"/>
      </w:pPr>
      <w:r>
        <w:rPr>
          <w:b/>
        </w:rPr>
        <w:t>Geopolitical situational awareness</w:t>
      </w:r>
      <w:r>
        <w:t xml:space="preserve"> of strategic water infrastructure</w:t>
      </w:r>
    </w:p>
    <w:p>
      <w:pPr>
        <w:jc w:val="center"/>
      </w:pPr>
      <w:r>
        <w:rPr>
          <w:color w:val="B6C2D3"/>
        </w:rPr>
        <w:t>__________________________________________________</w:t>
      </w:r>
    </w:p>
    <w:p>
      <w:pPr>
        <w:pStyle w:val="Heading2"/>
      </w:pPr>
      <w:r>
        <w:rPr>
          <w:rFonts w:ascii="Cambria" w:hAnsi="Cambria"/>
          <w:color w:val="2D6FBC"/>
          <w:sz w:val="30"/>
        </w:rPr>
        <w:t>6. Operational implications</w:t>
      </w:r>
    </w:p>
    <w:p>
      <w:r>
        <w:t>For a U.S. domestic audience:</w:t>
      </w:r>
    </w:p>
    <w:p>
      <w:pPr>
        <w:pStyle w:val="ListBullet"/>
      </w:pPr>
      <w:r>
        <w:t xml:space="preserve">A 2026 HIGH below 1,075 ft (the Tier-1 threshold) is the </w:t>
      </w:r>
      <w:r>
        <w:rPr>
          <w:b/>
        </w:rPr>
        <w:t>central forecast</w:t>
      </w:r>
      <w:r>
        <w:t>, not a tail risk. Plan accordingly.</w:t>
      </w:r>
    </w:p>
    <w:p>
      <w:pPr>
        <w:pStyle w:val="ListBullet"/>
      </w:pPr>
      <w:r>
        <w:t>The 2023–25 recovery should not be over-interpreted. Trend slope through 2025 remains negative.</w:t>
      </w:r>
    </w:p>
    <w:p>
      <w:pPr>
        <w:pStyle w:val="ListBullet"/>
      </w:pPr>
      <w:r>
        <w:t>Tier-2 conditions (below 1,050 ft) have a non-trivial probability in 2026–27 given the 95% lower bound is ~1,040–1,045 ft.</w:t>
      </w:r>
    </w:p>
    <w:p>
      <w:r>
        <w:t>For a foreign-reservoir audience (the actual Arariel client profile):</w:t>
      </w:r>
    </w:p>
    <w:p>
      <w:pPr>
        <w:pStyle w:val="ListBullet"/>
      </w:pPr>
      <w:r>
        <w:t>Same kind of forecast, same kind of uncertainty quantification, on reservoirs where no such product currently exists for external consumers.</w:t>
      </w:r>
    </w:p>
    <w:p>
      <w:pPr>
        <w:pStyle w:val="ListBullet"/>
      </w:pPr>
      <w:r>
        <w:t>Same kind of two-page methodology section makes the result defensible to a contracts officer, peer reviewer, or court.</w:t>
      </w:r>
    </w:p>
    <w:p>
      <w:pPr>
        <w:jc w:val="center"/>
      </w:pPr>
      <w:r>
        <w:rPr>
          <w:color w:val="B6C2D3"/>
        </w:rPr>
        <w:t>__________________________________________________</w:t>
      </w:r>
    </w:p>
    <w:p>
      <w:pPr>
        <w:pStyle w:val="Heading2"/>
      </w:pPr>
      <w:r>
        <w:rPr>
          <w:rFonts w:ascii="Cambria" w:hAnsi="Cambria"/>
          <w:color w:val="2D6FBC"/>
          <w:sz w:val="30"/>
        </w:rPr>
        <w:t>7. Limitations</w:t>
      </w:r>
    </w:p>
    <w:p>
      <w:r>
        <w:t xml:space="preserve">This is a </w:t>
      </w:r>
      <w:r>
        <w:rPr>
          <w:b/>
        </w:rPr>
        <w:t>demonstration</w:t>
      </w:r>
      <w:r>
        <w:t xml:space="preserve"> study. It uses real USBR-published data approximated to roughly monthly resolution. A production engagement would:</w:t>
      </w:r>
    </w:p>
    <w:p>
      <w:pPr>
        <w:pStyle w:val="ListBullet"/>
      </w:pPr>
      <w:r>
        <w:t>Use the full USBR hourly record, not the monthly summary</w:t>
      </w:r>
    </w:p>
    <w:p>
      <w:pPr>
        <w:pStyle w:val="ListBullet"/>
      </w:pPr>
      <w:r>
        <w:t>Use actual MNDWI extraction on individual Landsat/Sentinel scenes, not the AVE-table conversion shorthand</w:t>
      </w:r>
    </w:p>
    <w:p>
      <w:pPr>
        <w:pStyle w:val="ListBullet"/>
      </w:pPr>
      <w:r>
        <w:t>Quote scene-level uncertainty per observation</w:t>
      </w:r>
    </w:p>
    <w:p>
      <w:pPr>
        <w:pStyle w:val="ListBullet"/>
      </w:pPr>
      <w:r>
        <w:t>Include sediment-storage adjustments where relevant</w:t>
      </w:r>
    </w:p>
    <w:p>
      <w:pPr>
        <w:pStyle w:val="ListBullet"/>
      </w:pPr>
      <w:r>
        <w:t>Cross-validate against alternative water indices (NDWI, AWEI)</w:t>
      </w:r>
    </w:p>
    <w:p>
      <w:r>
        <w:t xml:space="preserve">The CSV dataset attached to the demonstration uses </w:t>
      </w:r>
      <w:r>
        <w:rPr>
          <w:b/>
        </w:rPr>
        <w:t>real Landsat path/row (039/035)</w:t>
      </w:r>
      <w:r>
        <w:t xml:space="preserve"> and a </w:t>
      </w:r>
      <w:r>
        <w:rPr>
          <w:b/>
        </w:rPr>
        <w:t>plausible scene-ID format</w:t>
      </w:r>
      <w:r>
        <w:t xml:space="preserve"> for illustration. In a production deliverable, every scene ID is a verbatim USGS catalog identifier resolvable at earthexplorer.usgs.gov.</w:t>
      </w:r>
    </w:p>
    <w:p>
      <w:pPr>
        <w:jc w:val="center"/>
      </w:pPr>
      <w:r>
        <w:rPr>
          <w:color w:val="B6C2D3"/>
        </w:rPr>
        <w:t>__________________________________________________</w:t>
      </w:r>
    </w:p>
    <w:p>
      <w:pPr>
        <w:pStyle w:val="Heading2"/>
      </w:pPr>
      <w:r>
        <w:rPr>
          <w:rFonts w:ascii="Cambria" w:hAnsi="Cambria"/>
          <w:color w:val="2D6FBC"/>
          <w:sz w:val="30"/>
        </w:rPr>
        <w:t>8. References</w:t>
      </w:r>
    </w:p>
    <w:p>
      <w:pPr>
        <w:pStyle w:val="ListNumber"/>
      </w:pPr>
      <w:r>
        <w:t xml:space="preserve">Bureau of Reclamation, 2024. </w:t>
      </w:r>
      <w:r>
        <w:rPr>
          <w:i/>
        </w:rPr>
        <w:t>Boulder Canyon Operations Office — Lake Mead Elevation Records.</w:t>
      </w:r>
      <w:r>
        <w:t xml:space="preserve"> Lower Colorado River Operations. usbr.gov/lc/region/g4000/hourly/mead-elv.html</w:t>
      </w:r>
    </w:p>
    <w:p>
      <w:pPr>
        <w:pStyle w:val="ListNumber"/>
      </w:pPr>
      <w:r>
        <w:t xml:space="preserve">Bureau of Reclamation, 2023. </w:t>
      </w:r>
      <w:r>
        <w:rPr>
          <w:i/>
        </w:rPr>
        <w:t>Near-term Colorado River Operations: Draft Supplemental Environmental Impact Statement.</w:t>
      </w:r>
      <w:r>
        <w:t xml:space="preserve"> Modifications to the December 2007 Record of Decision.</w:t>
      </w:r>
    </w:p>
    <w:p>
      <w:pPr>
        <w:pStyle w:val="ListNumber"/>
      </w:pPr>
      <w:r>
        <w:t xml:space="preserve">Castle, S. L., Thomas, B. F., Reager, J. T., Rodell, M., Swenson, S. C., Famiglietti, J. S., 2014. "Groundwater depletion during drought threatens future water security of the Colorado River Basin." </w:t>
      </w:r>
      <w:r>
        <w:rPr>
          <w:i/>
        </w:rPr>
        <w:t>Geophysical Research Letters</w:t>
      </w:r>
      <w:r>
        <w:t xml:space="preserve"> 41 (16), 5904–5911.</w:t>
      </w:r>
    </w:p>
    <w:p>
      <w:pPr>
        <w:pStyle w:val="ListNumber"/>
      </w:pPr>
      <w:r>
        <w:t xml:space="preserve">Pekel, J.-F., Cottam, A., Gorelick, N., Belward, A. S., 2016. "High-resolution mapping of global surface water and its long-term changes." </w:t>
      </w:r>
      <w:r>
        <w:rPr>
          <w:i/>
        </w:rPr>
        <w:t>Nature</w:t>
      </w:r>
      <w:r>
        <w:t xml:space="preserve"> 540, 418–422.</w:t>
      </w:r>
    </w:p>
    <w:p>
      <w:pPr>
        <w:pStyle w:val="ListNumber"/>
      </w:pPr>
      <w:r>
        <w:t xml:space="preserve">Udall, B., Overpeck, J., 2017. "The twenty-first century Colorado River hot drought and implications for the future." </w:t>
      </w:r>
      <w:r>
        <w:rPr>
          <w:i/>
        </w:rPr>
        <w:t>Water Resources Research</w:t>
      </w:r>
      <w:r>
        <w:t xml:space="preserve"> 53 (3), 2404–2418.</w:t>
      </w:r>
    </w:p>
    <w:p>
      <w:pPr>
        <w:pStyle w:val="ListNumber"/>
      </w:pPr>
      <w:r>
        <w:t xml:space="preserve">Williams, A. P., Cook, B. I., Smerdon, J. E., 2022. "Rapid intensification of the emerging southwestern North American megadrought in 2020–2021." </w:t>
      </w:r>
      <w:r>
        <w:rPr>
          <w:i/>
        </w:rPr>
        <w:t>Nature Climate Change</w:t>
      </w:r>
      <w:r>
        <w:t xml:space="preserve"> 12, 232–234.</w:t>
      </w:r>
    </w:p>
    <w:p>
      <w:pPr>
        <w:pStyle w:val="ListNumber"/>
      </w:pPr>
      <w:r>
        <w:t xml:space="preserve">Xu, H., 2006. "Modification of normalised difference water index (NDWI) to enhance open water features in remotely sensed imagery." </w:t>
      </w:r>
      <w:r>
        <w:rPr>
          <w:i/>
        </w:rPr>
        <w:t>International Journal of Remote Sensing</w:t>
      </w:r>
      <w:r>
        <w:t xml:space="preserve"> 27 (14), 3025–3033.</w:t>
      </w:r>
    </w:p>
    <w:p>
      <w:pPr>
        <w:pStyle w:val="ListNumber"/>
      </w:pPr>
      <w:r>
        <w:t xml:space="preserve">Lehner, B., Liermann, C. R., Revenga, C., et al., 2011. "Global Reservoir and Dam Database (GRanD), version 1.3." </w:t>
      </w:r>
      <w:r>
        <w:rPr>
          <w:i/>
        </w:rPr>
        <w:t>Frontiers in Ecology and the Environment</w:t>
      </w:r>
      <w:r>
        <w:t xml:space="preserve"> 9 (9), 494–502.</w:t>
      </w:r>
    </w:p>
    <w:p>
      <w:pPr>
        <w:pStyle w:val="ListNumber"/>
      </w:pPr>
      <w:r>
        <w:t xml:space="preserve">USGS, 2024. </w:t>
      </w:r>
      <w:r>
        <w:rPr>
          <w:i/>
        </w:rPr>
        <w:t>Landsat Collection 2 Level-2 Science Products.</w:t>
      </w:r>
      <w:r>
        <w:t xml:space="preserve"> Earth Resources Observation and Science (EROS) Center. usgs.gov/landsat-missions</w:t>
      </w:r>
    </w:p>
    <w:p>
      <w:pPr>
        <w:pStyle w:val="ListNumber"/>
      </w:pPr>
      <w:r>
        <w:t>Colorado River Basin Drought Contingency Plans, 2019. Public Law 116-14. Upper and Lower Basin DCPs.</w:t>
      </w:r>
    </w:p>
    <w:p>
      <w:pPr>
        <w:jc w:val="center"/>
      </w:pPr>
      <w:r>
        <w:rPr>
          <w:color w:val="B6C2D3"/>
        </w:rPr>
        <w:t>__________________________________________________</w:t>
      </w:r>
    </w:p>
    <w:p>
      <w:pPr>
        <w:pStyle w:val="Heading2"/>
      </w:pPr>
      <w:r>
        <w:rPr>
          <w:rFonts w:ascii="Cambria" w:hAnsi="Cambria"/>
          <w:color w:val="2D6FBC"/>
          <w:sz w:val="30"/>
        </w:rPr>
        <w:t>Appendix A — Dataset schema</w:t>
      </w:r>
    </w:p>
    <w:p>
      <w:r>
        <w:t xml:space="preserve">The full dataset is delivered as </w:t>
      </w:r>
      <w:r>
        <w:rPr>
          <w:rFonts w:ascii="Consolas" w:hAnsi="Consolas"/>
          <w:color w:val="2D6FBC"/>
          <w:sz w:val="19"/>
        </w:rPr>
        <w:t>hoover-watermarks.csv</w:t>
      </w:r>
      <w:r>
        <w:t xml:space="preserve"> (and </w:t>
      </w:r>
      <w:r>
        <w:rPr>
          <w:rFonts w:ascii="Consolas" w:hAnsi="Consolas"/>
          <w:color w:val="2D6FBC"/>
          <w:sz w:val="19"/>
        </w:rPr>
        <w:t>.xlsx</w:t>
      </w:r>
      <w:r>
        <w:t>). One row per watermark observation (2 per year × 26 years = 52 rows).</w:t>
      </w:r>
    </w:p>
    <w:tbl>
      <w:tblPr>
        <w:tblStyle w:val="LightGrid-Accent1"/>
        <w:tblW w:type="auto" w:w="0"/>
        <w:tblLook w:firstColumn="1" w:firstRow="1" w:lastColumn="0" w:lastRow="0" w:noHBand="0" w:noVBand="1" w:val="04A0"/>
      </w:tblPr>
      <w:tblGrid>
        <w:gridCol w:w="2880"/>
        <w:gridCol w:w="2880"/>
        <w:gridCol w:w="2880"/>
      </w:tblGrid>
      <w:tr>
        <w:tc>
          <w:tcPr>
            <w:tcW w:type="dxa" w:w="2880"/>
            <w:shd w:val="clear" w:color="auto" w:fill="E8EEF7"/>
          </w:tcPr>
          <w:p>
            <w:r>
              <w:rPr>
                <w:b/>
                <w:color w:val="2D6FBC"/>
              </w:rPr>
            </w:r>
            <w:r>
              <w:rPr>
                <w:b/>
                <w:color w:val="2D6FBC"/>
              </w:rPr>
              <w:t>Column</w:t>
            </w:r>
          </w:p>
        </w:tc>
        <w:tc>
          <w:tcPr>
            <w:tcW w:type="dxa" w:w="2880"/>
            <w:shd w:val="clear" w:color="auto" w:fill="E8EEF7"/>
          </w:tcPr>
          <w:p>
            <w:r>
              <w:rPr>
                <w:b/>
                <w:color w:val="2D6FBC"/>
              </w:rPr>
            </w:r>
            <w:r>
              <w:rPr>
                <w:b/>
                <w:color w:val="2D6FBC"/>
              </w:rPr>
              <w:t>Type</w:t>
            </w:r>
          </w:p>
        </w:tc>
        <w:tc>
          <w:tcPr>
            <w:tcW w:type="dxa" w:w="2880"/>
            <w:shd w:val="clear" w:color="auto" w:fill="E8EEF7"/>
          </w:tcPr>
          <w:p>
            <w:r>
              <w:rPr>
                <w:b/>
                <w:color w:val="2D6FBC"/>
              </w:rPr>
            </w:r>
            <w:r>
              <w:rPr>
                <w:b/>
                <w:color w:val="2D6FBC"/>
              </w:rPr>
              <w:t>Description</w:t>
            </w:r>
          </w:p>
        </w:tc>
      </w:tr>
      <w:tr>
        <w:tc>
          <w:tcPr>
            <w:tcW w:type="dxa" w:w="2880"/>
          </w:tcPr>
          <w:p>
            <w:r/>
            <w:r>
              <w:rPr>
                <w:rFonts w:ascii="Consolas" w:hAnsi="Consolas"/>
                <w:color w:val="2D6FBC"/>
                <w:sz w:val="19"/>
              </w:rPr>
              <w:t>reservoir</w:t>
            </w:r>
          </w:p>
        </w:tc>
        <w:tc>
          <w:tcPr>
            <w:tcW w:type="dxa" w:w="2880"/>
          </w:tcPr>
          <w:p>
            <w:r/>
            <w:r>
              <w:t>string</w:t>
            </w:r>
          </w:p>
        </w:tc>
        <w:tc>
          <w:tcPr>
            <w:tcW w:type="dxa" w:w="2880"/>
          </w:tcPr>
          <w:p>
            <w:r/>
            <w:r>
              <w:t>"hoover" (constant for this dataset)</w:t>
            </w:r>
          </w:p>
        </w:tc>
      </w:tr>
      <w:tr>
        <w:tc>
          <w:tcPr>
            <w:tcW w:type="dxa" w:w="2880"/>
            <w:shd w:val="clear" w:color="auto" w:fill="F8FAFD"/>
          </w:tcPr>
          <w:p>
            <w:r/>
            <w:r>
              <w:rPr>
                <w:rFonts w:ascii="Consolas" w:hAnsi="Consolas"/>
                <w:color w:val="2D6FBC"/>
                <w:sz w:val="19"/>
              </w:rPr>
              <w:t>year</w:t>
            </w:r>
          </w:p>
        </w:tc>
        <w:tc>
          <w:tcPr>
            <w:tcW w:type="dxa" w:w="2880"/>
            <w:shd w:val="clear" w:color="auto" w:fill="F8FAFD"/>
          </w:tcPr>
          <w:p>
            <w:r/>
            <w:r>
              <w:t>int</w:t>
            </w:r>
          </w:p>
        </w:tc>
        <w:tc>
          <w:tcPr>
            <w:tcW w:type="dxa" w:w="2880"/>
            <w:shd w:val="clear" w:color="auto" w:fill="F8FAFD"/>
          </w:tcPr>
          <w:p>
            <w:r/>
            <w:r>
              <w:t>Calendar year of observation</w:t>
            </w:r>
          </w:p>
        </w:tc>
      </w:tr>
      <w:tr>
        <w:tc>
          <w:tcPr>
            <w:tcW w:type="dxa" w:w="2880"/>
          </w:tcPr>
          <w:p>
            <w:r/>
            <w:r>
              <w:rPr>
                <w:rFonts w:ascii="Consolas" w:hAnsi="Consolas"/>
                <w:color w:val="2D6FBC"/>
                <w:sz w:val="19"/>
              </w:rPr>
              <w:t>phase</w:t>
            </w:r>
          </w:p>
        </w:tc>
        <w:tc>
          <w:tcPr>
            <w:tcW w:type="dxa" w:w="2880"/>
          </w:tcPr>
          <w:p>
            <w:r/>
            <w:r>
              <w:t>enum</w:t>
            </w:r>
          </w:p>
        </w:tc>
        <w:tc>
          <w:tcPr>
            <w:tcW w:type="dxa" w:w="2880"/>
          </w:tcPr>
          <w:p>
            <w:r/>
            <w:r>
              <w:rPr>
                <w:rFonts w:ascii="Consolas" w:hAnsi="Consolas"/>
                <w:color w:val="2D6FBC"/>
                <w:sz w:val="19"/>
              </w:rPr>
              <w:t>HIGH</w:t>
            </w:r>
            <w:r>
              <w:t xml:space="preserve"> or </w:t>
            </w:r>
            <w:r>
              <w:rPr>
                <w:rFonts w:ascii="Consolas" w:hAnsi="Consolas"/>
                <w:color w:val="2D6FBC"/>
                <w:sz w:val="19"/>
              </w:rPr>
              <w:t>LOW</w:t>
            </w:r>
          </w:p>
        </w:tc>
      </w:tr>
      <w:tr>
        <w:tc>
          <w:tcPr>
            <w:tcW w:type="dxa" w:w="2880"/>
            <w:shd w:val="clear" w:color="auto" w:fill="F8FAFD"/>
          </w:tcPr>
          <w:p>
            <w:r/>
            <w:r>
              <w:rPr>
                <w:rFonts w:ascii="Consolas" w:hAnsi="Consolas"/>
                <w:color w:val="2D6FBC"/>
                <w:sz w:val="19"/>
              </w:rPr>
              <w:t>observation_date</w:t>
            </w:r>
          </w:p>
        </w:tc>
        <w:tc>
          <w:tcPr>
            <w:tcW w:type="dxa" w:w="2880"/>
            <w:shd w:val="clear" w:color="auto" w:fill="F8FAFD"/>
          </w:tcPr>
          <w:p>
            <w:r/>
            <w:r>
              <w:t>date</w:t>
            </w:r>
          </w:p>
        </w:tc>
        <w:tc>
          <w:tcPr>
            <w:tcW w:type="dxa" w:w="2880"/>
            <w:shd w:val="clear" w:color="auto" w:fill="F8FAFD"/>
          </w:tcPr>
          <w:p>
            <w:r/>
            <w:r>
              <w:t>YYYY-MM-DD of the satellite scene</w:t>
            </w:r>
          </w:p>
        </w:tc>
      </w:tr>
      <w:tr>
        <w:tc>
          <w:tcPr>
            <w:tcW w:type="dxa" w:w="2880"/>
          </w:tcPr>
          <w:p>
            <w:r/>
            <w:r>
              <w:rPr>
                <w:rFonts w:ascii="Consolas" w:hAnsi="Consolas"/>
                <w:color w:val="2D6FBC"/>
                <w:sz w:val="19"/>
              </w:rPr>
              <w:t>elevation_ft</w:t>
            </w:r>
          </w:p>
        </w:tc>
        <w:tc>
          <w:tcPr>
            <w:tcW w:type="dxa" w:w="2880"/>
          </w:tcPr>
          <w:p>
            <w:r/>
            <w:r>
              <w:t>float</w:t>
            </w:r>
          </w:p>
        </w:tc>
        <w:tc>
          <w:tcPr>
            <w:tcW w:type="dxa" w:w="2880"/>
          </w:tcPr>
          <w:p>
            <w:r/>
            <w:r>
              <w:t>Surface elevation, feet above sea level</w:t>
            </w:r>
          </w:p>
        </w:tc>
      </w:tr>
      <w:tr>
        <w:tc>
          <w:tcPr>
            <w:tcW w:type="dxa" w:w="2880"/>
            <w:shd w:val="clear" w:color="auto" w:fill="F8FAFD"/>
          </w:tcPr>
          <w:p>
            <w:r/>
            <w:r>
              <w:rPr>
                <w:rFonts w:ascii="Consolas" w:hAnsi="Consolas"/>
                <w:color w:val="2D6FBC"/>
                <w:sz w:val="19"/>
              </w:rPr>
              <w:t>surface_area_km2</w:t>
            </w:r>
          </w:p>
        </w:tc>
        <w:tc>
          <w:tcPr>
            <w:tcW w:type="dxa" w:w="2880"/>
            <w:shd w:val="clear" w:color="auto" w:fill="F8FAFD"/>
          </w:tcPr>
          <w:p>
            <w:r/>
            <w:r>
              <w:t>float</w:t>
            </w:r>
          </w:p>
        </w:tc>
        <w:tc>
          <w:tcPr>
            <w:tcW w:type="dxa" w:w="2880"/>
            <w:shd w:val="clear" w:color="auto" w:fill="F8FAFD"/>
          </w:tcPr>
          <w:p>
            <w:r/>
            <w:r>
              <w:t>Areal extent, km² (from AVE curve or direct MNDWI count)</w:t>
            </w:r>
          </w:p>
        </w:tc>
      </w:tr>
      <w:tr>
        <w:tc>
          <w:tcPr>
            <w:tcW w:type="dxa" w:w="2880"/>
          </w:tcPr>
          <w:p>
            <w:r/>
            <w:r>
              <w:rPr>
                <w:rFonts w:ascii="Consolas" w:hAnsi="Consolas"/>
                <w:color w:val="2D6FBC"/>
                <w:sz w:val="19"/>
              </w:rPr>
              <w:t>scene_id</w:t>
            </w:r>
          </w:p>
        </w:tc>
        <w:tc>
          <w:tcPr>
            <w:tcW w:type="dxa" w:w="2880"/>
          </w:tcPr>
          <w:p>
            <w:r/>
            <w:r>
              <w:t>string</w:t>
            </w:r>
          </w:p>
        </w:tc>
        <w:tc>
          <w:tcPr>
            <w:tcW w:type="dxa" w:w="2880"/>
          </w:tcPr>
          <w:p>
            <w:r/>
            <w:r>
              <w:t>USGS Landsat scene identifier</w:t>
            </w:r>
          </w:p>
        </w:tc>
      </w:tr>
      <w:tr>
        <w:tc>
          <w:tcPr>
            <w:tcW w:type="dxa" w:w="2880"/>
            <w:shd w:val="clear" w:color="auto" w:fill="F8FAFD"/>
          </w:tcPr>
          <w:p>
            <w:r/>
            <w:r>
              <w:rPr>
                <w:rFonts w:ascii="Consolas" w:hAnsi="Consolas"/>
                <w:color w:val="2D6FBC"/>
                <w:sz w:val="19"/>
              </w:rPr>
              <w:t>sensor</w:t>
            </w:r>
          </w:p>
        </w:tc>
        <w:tc>
          <w:tcPr>
            <w:tcW w:type="dxa" w:w="2880"/>
            <w:shd w:val="clear" w:color="auto" w:fill="F8FAFD"/>
          </w:tcPr>
          <w:p>
            <w:r/>
            <w:r>
              <w:t>string</w:t>
            </w:r>
          </w:p>
        </w:tc>
        <w:tc>
          <w:tcPr>
            <w:tcW w:type="dxa" w:w="2880"/>
            <w:shd w:val="clear" w:color="auto" w:fill="F8FAFD"/>
          </w:tcPr>
          <w:p>
            <w:r/>
            <w:r>
              <w:t>Sensor designation</w:t>
            </w:r>
          </w:p>
        </w:tc>
      </w:tr>
      <w:tr>
        <w:tc>
          <w:tcPr>
            <w:tcW w:type="dxa" w:w="2880"/>
          </w:tcPr>
          <w:p>
            <w:r/>
            <w:r>
              <w:rPr>
                <w:rFonts w:ascii="Consolas" w:hAnsi="Consolas"/>
                <w:color w:val="2D6FBC"/>
                <w:sz w:val="19"/>
              </w:rPr>
              <w:t>cloud_cover_pct</w:t>
            </w:r>
          </w:p>
        </w:tc>
        <w:tc>
          <w:tcPr>
            <w:tcW w:type="dxa" w:w="2880"/>
          </w:tcPr>
          <w:p>
            <w:r/>
            <w:r>
              <w:t>float</w:t>
            </w:r>
          </w:p>
        </w:tc>
        <w:tc>
          <w:tcPr>
            <w:tcW w:type="dxa" w:w="2880"/>
          </w:tcPr>
          <w:p>
            <w:r/>
            <w:r>
              <w:t>Percent of scene obscured by clouds (after masking)</w:t>
            </w:r>
          </w:p>
        </w:tc>
      </w:tr>
      <w:tr>
        <w:tc>
          <w:tcPr>
            <w:tcW w:type="dxa" w:w="2880"/>
            <w:shd w:val="clear" w:color="auto" w:fill="F8FAFD"/>
          </w:tcPr>
          <w:p>
            <w:r/>
            <w:r>
              <w:rPr>
                <w:rFonts w:ascii="Consolas" w:hAnsi="Consolas"/>
                <w:color w:val="2D6FBC"/>
                <w:sz w:val="19"/>
              </w:rPr>
              <w:t>mndwi_threshold</w:t>
            </w:r>
          </w:p>
        </w:tc>
        <w:tc>
          <w:tcPr>
            <w:tcW w:type="dxa" w:w="2880"/>
            <w:shd w:val="clear" w:color="auto" w:fill="F8FAFD"/>
          </w:tcPr>
          <w:p>
            <w:r/>
            <w:r>
              <w:t>float</w:t>
            </w:r>
          </w:p>
        </w:tc>
        <w:tc>
          <w:tcPr>
            <w:tcW w:type="dxa" w:w="2880"/>
            <w:shd w:val="clear" w:color="auto" w:fill="F8FAFD"/>
          </w:tcPr>
          <w:p>
            <w:r/>
            <w:r>
              <w:t>MNDWI threshold used for water/non-water classification</w:t>
            </w:r>
          </w:p>
        </w:tc>
      </w:tr>
      <w:tr>
        <w:tc>
          <w:tcPr>
            <w:tcW w:type="dxa" w:w="2880"/>
          </w:tcPr>
          <w:p>
            <w:r/>
            <w:r>
              <w:rPr>
                <w:rFonts w:ascii="Consolas" w:hAnsi="Consolas"/>
                <w:color w:val="2D6FBC"/>
                <w:sz w:val="19"/>
              </w:rPr>
              <w:t>notes</w:t>
            </w:r>
          </w:p>
        </w:tc>
        <w:tc>
          <w:tcPr>
            <w:tcW w:type="dxa" w:w="2880"/>
          </w:tcPr>
          <w:p>
            <w:r/>
            <w:r>
              <w:t>string</w:t>
            </w:r>
          </w:p>
        </w:tc>
        <w:tc>
          <w:tcPr>
            <w:tcW w:type="dxa" w:w="2880"/>
          </w:tcPr>
          <w:p>
            <w:r/>
            <w:r>
              <w:t>Free-text annotations (sensor transitions, record events, etc.)</w:t>
            </w:r>
          </w:p>
        </w:tc>
      </w:tr>
    </w:tbl>
    <w:p>
      <w:pPr>
        <w:jc w:val="center"/>
      </w:pPr>
      <w:r>
        <w:rPr>
          <w:color w:val="B6C2D3"/>
        </w:rPr>
        <w:t>__________________________________________________</w:t>
      </w:r>
    </w:p>
    <w:p>
      <w:pPr>
        <w:pStyle w:val="Heading2"/>
      </w:pPr>
      <w:r>
        <w:rPr>
          <w:rFonts w:ascii="Cambria" w:hAnsi="Cambria"/>
          <w:color w:val="2D6FBC"/>
          <w:sz w:val="30"/>
        </w:rPr>
        <w:t>Appendix B — Reproducibility bundle</w:t>
      </w:r>
    </w:p>
    <w:p>
      <w:r>
        <w:t>A complete reproduction of this study requires:</w:t>
      </w:r>
    </w:p>
    <w:p>
      <w:pPr>
        <w:pStyle w:val="ListNumber"/>
      </w:pPr>
      <w:r>
        <w:t>The CSV dataset (</w:t>
      </w:r>
      <w:r>
        <w:rPr>
          <w:rFonts w:ascii="Consolas" w:hAnsi="Consolas"/>
          <w:color w:val="2D6FBC"/>
          <w:sz w:val="19"/>
        </w:rPr>
        <w:t>hoover-watermarks.csv</w:t>
      </w:r>
      <w:r>
        <w:t>) — included in this delivery</w:t>
      </w:r>
    </w:p>
    <w:p>
      <w:pPr>
        <w:pStyle w:val="ListNumber"/>
      </w:pPr>
      <w:r>
        <w:t>The annotated satellite imagery (</w:t>
      </w:r>
      <w:r>
        <w:rPr>
          <w:rFonts w:ascii="Consolas" w:hAnsi="Consolas"/>
          <w:color w:val="2D6FBC"/>
          <w:sz w:val="19"/>
        </w:rPr>
        <w:t>hoover-satellite-overview.png</w:t>
      </w:r>
      <w:r>
        <w:t>) — included</w:t>
      </w:r>
    </w:p>
    <w:p>
      <w:pPr>
        <w:pStyle w:val="ListNumber"/>
      </w:pPr>
      <w:r>
        <w:t>The Arariel desktop application — required to regenerate from raw imagery (commercial license)</w:t>
      </w:r>
    </w:p>
    <w:p>
      <w:pPr>
        <w:pStyle w:val="ListNumber"/>
      </w:pPr>
      <w:r>
        <w:t>A USGS Earthdata account — free, required for direct Landsat C2 access</w:t>
      </w:r>
    </w:p>
    <w:p>
      <w:pPr>
        <w:pStyle w:val="ListNumber"/>
      </w:pPr>
      <w:r>
        <w:t>The Bureau of Reclamation Hoover Dam elevation record — free, public, downloadable</w:t>
      </w:r>
    </w:p>
    <w:p>
      <w:r>
        <w:t xml:space="preserve">The OLS and LOOCV math is documented in §4.1–4.2 above and is reproducible in any statistical environment. The interactive demonstration at arariel.heliolink.net computes these values live in the browser from the attached CSV — viewing source on </w:t>
      </w:r>
      <w:r>
        <w:rPr>
          <w:rFonts w:ascii="Consolas" w:hAnsi="Consolas"/>
          <w:color w:val="2D6FBC"/>
          <w:sz w:val="19"/>
        </w:rPr>
        <w:t>app.js</w:t>
      </w:r>
      <w:r>
        <w:t xml:space="preserve"> shows the full implementation.</w:t>
      </w:r>
    </w:p>
    <w:p>
      <w:pPr>
        <w:jc w:val="center"/>
      </w:pPr>
      <w:r>
        <w:rPr>
          <w:color w:val="B6C2D3"/>
        </w:rPr>
        <w:t>__________________________________________________</w:t>
      </w:r>
    </w:p>
    <w:p>
      <w:r>
        <w:rPr>
          <w:i/>
        </w:rPr>
        <w:t>This study is a demonstration product of HelioLink Technologies, LLC, prepared to showcase the Arariel reservoir-watermark workflow. It is released to the public without restriction. Commercial engagements deliver a similar artifact set for any reservoir on Earth; contact heliolink.net/#contact for pricing.</w:t>
      </w:r>
    </w:p>
    <w:p>
      <w:r>
        <w:rPr>
          <w:i/>
        </w:rPr>
        <w:t>— HelioLink Technologies, LLC · arariel.heliolink.net · v1.5.5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